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4327E">
      <w:pPr>
        <w:spacing w:line="360" w:lineRule="auto"/>
        <w:jc w:val="center"/>
        <w:textAlignment w:val="baseline"/>
        <w:rPr>
          <w:rFonts w:hint="eastAsia" w:ascii="宋体" w:hAnsi="宋体" w:cs="宋体"/>
          <w:b/>
          <w:sz w:val="36"/>
          <w:szCs w:val="36"/>
        </w:rPr>
      </w:pPr>
    </w:p>
    <w:p w14:paraId="0A21ABFF">
      <w:pPr>
        <w:spacing w:line="360" w:lineRule="auto"/>
        <w:jc w:val="center"/>
        <w:textAlignment w:val="baseline"/>
        <w:rPr>
          <w:rFonts w:hint="eastAsia" w:ascii="宋体" w:hAnsi="宋体" w:cs="宋体"/>
          <w:b/>
          <w:sz w:val="36"/>
          <w:szCs w:val="36"/>
        </w:rPr>
      </w:pPr>
    </w:p>
    <w:p w14:paraId="48D00D29">
      <w:pPr>
        <w:pStyle w:val="2"/>
      </w:pPr>
    </w:p>
    <w:p w14:paraId="7095A839">
      <w:pPr>
        <w:pStyle w:val="2"/>
        <w:autoSpaceDE w:val="0"/>
        <w:autoSpaceDN w:val="0"/>
        <w:jc w:val="center"/>
        <w:rPr>
          <w:rFonts w:hint="eastAsia" w:ascii="仿宋" w:hAnsi="仿宋" w:eastAsia="仿宋" w:cs="宋体"/>
          <w:b/>
          <w:color w:val="000000" w:themeColor="text1"/>
          <w:kern w:val="0"/>
          <w:sz w:val="52"/>
          <w:szCs w:val="22"/>
          <w:u w:val="single"/>
          <w14:textFill>
            <w14:solidFill>
              <w14:schemeClr w14:val="tx1"/>
            </w14:solidFill>
          </w14:textFill>
        </w:rPr>
      </w:pPr>
      <w:bookmarkStart w:id="0" w:name="_Hlk196397979"/>
      <w:r>
        <w:rPr>
          <w:rFonts w:hint="eastAsia" w:ascii="仿宋" w:hAnsi="仿宋" w:eastAsia="仿宋" w:cs="宋体"/>
          <w:b/>
          <w:color w:val="000000" w:themeColor="text1"/>
          <w:kern w:val="0"/>
          <w:sz w:val="52"/>
          <w:szCs w:val="22"/>
          <w:u w:val="single"/>
          <w14:textFill>
            <w14:solidFill>
              <w14:schemeClr w14:val="tx1"/>
            </w14:solidFill>
          </w14:textFill>
        </w:rPr>
        <w:t>福建福化古雷石油化工有限公司</w:t>
      </w:r>
    </w:p>
    <w:p w14:paraId="386373BD">
      <w:pPr>
        <w:pStyle w:val="2"/>
        <w:autoSpaceDE w:val="0"/>
        <w:autoSpaceDN w:val="0"/>
        <w:jc w:val="center"/>
        <w:rPr>
          <w:rFonts w:hint="eastAsia" w:ascii="仿宋" w:hAnsi="仿宋" w:eastAsia="仿宋" w:cs="宋体"/>
          <w:b/>
          <w:color w:val="000000" w:themeColor="text1"/>
          <w:kern w:val="0"/>
          <w:sz w:val="52"/>
          <w:szCs w:val="22"/>
          <w:u w:val="single"/>
          <w14:textFill>
            <w14:solidFill>
              <w14:schemeClr w14:val="tx1"/>
            </w14:solidFill>
          </w14:textFill>
        </w:rPr>
      </w:pPr>
      <w:r>
        <w:rPr>
          <w:rFonts w:hint="eastAsia" w:ascii="仿宋" w:hAnsi="仿宋" w:eastAsia="仿宋" w:cs="宋体"/>
          <w:b/>
          <w:color w:val="000000" w:themeColor="text1"/>
          <w:kern w:val="0"/>
          <w:sz w:val="52"/>
          <w:szCs w:val="22"/>
          <w:u w:val="single"/>
          <w14:textFill>
            <w14:solidFill>
              <w14:schemeClr w14:val="tx1"/>
            </w14:solidFill>
          </w14:textFill>
        </w:rPr>
        <w:t>化工企业安全、工艺、设备管理体系</w:t>
      </w:r>
    </w:p>
    <w:p w14:paraId="5A5BFC31">
      <w:pPr>
        <w:pStyle w:val="2"/>
        <w:autoSpaceDE w:val="0"/>
        <w:autoSpaceDN w:val="0"/>
        <w:jc w:val="center"/>
        <w:rPr>
          <w:rFonts w:hint="eastAsia" w:ascii="仿宋" w:hAnsi="仿宋" w:eastAsia="仿宋" w:cs="宋体"/>
          <w:b/>
          <w:color w:val="000000" w:themeColor="text1"/>
          <w:kern w:val="0"/>
          <w:sz w:val="52"/>
          <w:szCs w:val="22"/>
          <w:u w:val="single"/>
          <w14:textFill>
            <w14:solidFill>
              <w14:schemeClr w14:val="tx1"/>
            </w14:solidFill>
          </w14:textFill>
        </w:rPr>
      </w:pPr>
      <w:r>
        <w:rPr>
          <w:rFonts w:hint="eastAsia" w:ascii="仿宋" w:hAnsi="仿宋" w:eastAsia="仿宋" w:cs="宋体"/>
          <w:b/>
          <w:color w:val="000000" w:themeColor="text1"/>
          <w:kern w:val="0"/>
          <w:sz w:val="52"/>
          <w:szCs w:val="22"/>
          <w:u w:val="single"/>
          <w14:textFill>
            <w14:solidFill>
              <w14:schemeClr w14:val="tx1"/>
            </w14:solidFill>
          </w14:textFill>
        </w:rPr>
        <w:t>评审技术服务</w:t>
      </w:r>
      <w:bookmarkEnd w:id="0"/>
      <w:r>
        <w:rPr>
          <w:rFonts w:hint="eastAsia" w:ascii="仿宋" w:hAnsi="仿宋" w:eastAsia="仿宋" w:cs="宋体"/>
          <w:b/>
          <w:color w:val="000000" w:themeColor="text1"/>
          <w:kern w:val="0"/>
          <w:sz w:val="52"/>
          <w:szCs w:val="22"/>
          <w:u w:val="single"/>
          <w14:textFill>
            <w14:solidFill>
              <w14:schemeClr w14:val="tx1"/>
            </w14:solidFill>
          </w14:textFill>
        </w:rPr>
        <w:t>询比采购文件</w:t>
      </w:r>
    </w:p>
    <w:p w14:paraId="15E6B82C">
      <w:pPr>
        <w:pStyle w:val="38"/>
        <w:jc w:val="cente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（文件编号：CL-3100-202509000056）</w:t>
      </w:r>
    </w:p>
    <w:p w14:paraId="4F3437B1">
      <w:pPr>
        <w:spacing w:line="360" w:lineRule="auto"/>
        <w:textAlignment w:val="baseline"/>
        <w:rPr>
          <w:rFonts w:hint="eastAsia" w:ascii="宋体" w:hAnsi="宋体" w:cs="宋体"/>
          <w:sz w:val="48"/>
          <w:szCs w:val="48"/>
        </w:rPr>
      </w:pPr>
    </w:p>
    <w:p w14:paraId="214954A0">
      <w:pPr>
        <w:pStyle w:val="2"/>
        <w:spacing w:line="360" w:lineRule="auto"/>
        <w:textAlignment w:val="baseline"/>
        <w:rPr>
          <w:rFonts w:hint="eastAsia" w:ascii="宋体" w:hAnsi="宋体" w:cs="宋体"/>
          <w:sz w:val="48"/>
          <w:szCs w:val="48"/>
        </w:rPr>
      </w:pPr>
    </w:p>
    <w:p w14:paraId="15403101">
      <w:pPr>
        <w:pStyle w:val="2"/>
        <w:spacing w:line="360" w:lineRule="auto"/>
        <w:textAlignment w:val="baseline"/>
        <w:rPr>
          <w:rFonts w:hint="eastAsia" w:ascii="宋体" w:hAnsi="宋体" w:cs="宋体"/>
        </w:rPr>
      </w:pPr>
    </w:p>
    <w:p w14:paraId="5AA4B3A7">
      <w:pPr>
        <w:pStyle w:val="2"/>
        <w:spacing w:line="360" w:lineRule="auto"/>
        <w:textAlignment w:val="baseline"/>
        <w:rPr>
          <w:rFonts w:hint="eastAsia" w:ascii="宋体" w:hAnsi="宋体" w:cs="宋体"/>
        </w:rPr>
      </w:pPr>
    </w:p>
    <w:p w14:paraId="7B8CE1A9">
      <w:pPr>
        <w:pStyle w:val="2"/>
        <w:spacing w:line="360" w:lineRule="auto"/>
        <w:textAlignment w:val="baseline"/>
        <w:rPr>
          <w:rFonts w:hint="eastAsia" w:ascii="宋体" w:hAnsi="宋体" w:cs="宋体"/>
          <w:b/>
          <w:bCs/>
          <w:sz w:val="30"/>
          <w:szCs w:val="30"/>
        </w:rPr>
      </w:pPr>
    </w:p>
    <w:p w14:paraId="66BA01FC">
      <w:pPr>
        <w:spacing w:line="360" w:lineRule="auto"/>
        <w:textAlignment w:val="baseline"/>
        <w:rPr>
          <w:rFonts w:hint="eastAsia" w:ascii="宋体" w:hAnsi="宋体" w:cs="宋体"/>
          <w:sz w:val="20"/>
        </w:rPr>
      </w:pPr>
    </w:p>
    <w:p w14:paraId="08EB087A">
      <w:pPr>
        <w:spacing w:line="360" w:lineRule="auto"/>
        <w:textAlignment w:val="baseline"/>
        <w:rPr>
          <w:rFonts w:hint="eastAsia" w:ascii="宋体" w:hAnsi="宋体" w:cs="宋体"/>
          <w:sz w:val="20"/>
        </w:rPr>
      </w:pPr>
    </w:p>
    <w:p w14:paraId="3BB0E153">
      <w:pPr>
        <w:pStyle w:val="2"/>
      </w:pPr>
    </w:p>
    <w:p w14:paraId="0BC0FF0D">
      <w:pPr>
        <w:pStyle w:val="2"/>
      </w:pPr>
    </w:p>
    <w:p w14:paraId="06055DA8">
      <w:pPr>
        <w:pStyle w:val="2"/>
      </w:pPr>
    </w:p>
    <w:p w14:paraId="16E6B7E5">
      <w:pPr>
        <w:pStyle w:val="2"/>
      </w:pPr>
    </w:p>
    <w:p w14:paraId="2C299912">
      <w:pPr>
        <w:pStyle w:val="2"/>
      </w:pPr>
    </w:p>
    <w:p w14:paraId="52E208F3">
      <w:pPr>
        <w:pStyle w:val="38"/>
        <w:jc w:val="center"/>
        <w:rPr>
          <w:rFonts w:hint="eastAsia" w:ascii="仿宋" w:hAnsi="仿宋" w:eastAsia="仿宋"/>
          <w:b/>
          <w:sz w:val="28"/>
          <w:szCs w:val="28"/>
        </w:rPr>
      </w:pPr>
      <w:r>
        <w:rPr>
          <w:rFonts w:hint="eastAsia" w:ascii="仿宋" w:hAnsi="仿宋" w:eastAsia="仿宋"/>
          <w:b/>
          <w:sz w:val="28"/>
          <w:szCs w:val="28"/>
        </w:rPr>
        <w:t>福建福化古雷石油化工有限公司编制</w:t>
      </w:r>
    </w:p>
    <w:p w14:paraId="447E4212">
      <w:pPr>
        <w:pStyle w:val="38"/>
        <w:jc w:val="center"/>
        <w:rPr>
          <w:rFonts w:hint="eastAsia" w:ascii="仿宋" w:hAnsi="仿宋" w:eastAsia="仿宋"/>
          <w:b/>
          <w:sz w:val="28"/>
          <w:szCs w:val="28"/>
        </w:rPr>
      </w:pPr>
      <w:r>
        <w:rPr>
          <w:rFonts w:hint="eastAsia" w:ascii="仿宋" w:hAnsi="仿宋" w:eastAsia="仿宋"/>
          <w:b/>
          <w:sz w:val="28"/>
          <w:szCs w:val="28"/>
        </w:rPr>
        <w:t>二○二五年</w:t>
      </w:r>
      <w:r>
        <w:rPr>
          <w:rFonts w:hint="eastAsia" w:ascii="仿宋" w:hAnsi="仿宋" w:eastAsia="仿宋"/>
          <w:b/>
          <w:sz w:val="28"/>
          <w:szCs w:val="28"/>
          <w:lang w:val="en-US" w:eastAsia="zh-CN"/>
        </w:rPr>
        <w:t>十</w:t>
      </w:r>
      <w:r>
        <w:rPr>
          <w:rFonts w:hint="eastAsia" w:ascii="仿宋" w:hAnsi="仿宋" w:eastAsia="仿宋"/>
          <w:b/>
          <w:sz w:val="28"/>
          <w:szCs w:val="28"/>
        </w:rPr>
        <w:t>月</w:t>
      </w:r>
    </w:p>
    <w:p w14:paraId="1097A544">
      <w:pPr>
        <w:pStyle w:val="2"/>
        <w:spacing w:line="360" w:lineRule="auto"/>
        <w:jc w:val="center"/>
        <w:rPr>
          <w:rFonts w:hint="eastAsia" w:ascii="宋体" w:hAnsi="宋体" w:cs="宋体"/>
          <w:sz w:val="32"/>
          <w:szCs w:val="32"/>
        </w:rPr>
        <w:sectPr>
          <w:pgSz w:w="11906" w:h="16838"/>
          <w:pgMar w:top="1383" w:right="1349" w:bottom="1440" w:left="1349" w:header="851" w:footer="850" w:gutter="0"/>
          <w:cols w:space="425" w:num="1"/>
          <w:docGrid w:type="lines" w:linePitch="312" w:charSpace="0"/>
        </w:sectPr>
      </w:pPr>
      <w:bookmarkStart w:id="1" w:name="_Toc169117846"/>
    </w:p>
    <w:p w14:paraId="7A708864">
      <w:pPr>
        <w:pStyle w:val="2"/>
        <w:spacing w:line="360" w:lineRule="auto"/>
        <w:jc w:val="center"/>
        <w:rPr>
          <w:rFonts w:hint="eastAsia" w:ascii="宋体" w:hAnsi="宋体" w:cs="宋体"/>
          <w:sz w:val="32"/>
          <w:szCs w:val="32"/>
        </w:rPr>
      </w:pPr>
      <w:r>
        <w:rPr>
          <w:rFonts w:hint="eastAsia" w:ascii="宋体" w:hAnsi="宋体" w:cs="宋体"/>
          <w:sz w:val="32"/>
          <w:szCs w:val="32"/>
        </w:rPr>
        <w:t>目  录</w:t>
      </w:r>
      <w:bookmarkEnd w:id="1"/>
    </w:p>
    <w:sdt>
      <w:sdtPr>
        <w:rPr>
          <w:rFonts w:ascii="宋体" w:hAnsi="宋体"/>
        </w:rPr>
        <w:id w:val="147456340"/>
        <w15:color w:val="DBDBDB"/>
        <w:docPartObj>
          <w:docPartGallery w:val="Table of Contents"/>
          <w:docPartUnique/>
        </w:docPartObj>
      </w:sdtPr>
      <w:sdtEndPr>
        <w:rPr>
          <w:rFonts w:hint="eastAsia" w:ascii="宋体" w:hAnsi="宋体" w:cs="宋体"/>
          <w:szCs w:val="32"/>
        </w:rPr>
      </w:sdtEndPr>
      <w:sdtContent>
        <w:p w14:paraId="4A2D5399">
          <w:pPr>
            <w:jc w:val="center"/>
          </w:pPr>
        </w:p>
        <w:p w14:paraId="47ECE461">
          <w:pPr>
            <w:pStyle w:val="14"/>
            <w:tabs>
              <w:tab w:val="right" w:leader="dot" w:pos="9912"/>
            </w:tabs>
            <w:rPr>
              <w:rFonts w:asciiTheme="minorHAnsi" w:hAnsiTheme="minorHAnsi" w:eastAsiaTheme="minorEastAsia" w:cstheme="minorBidi"/>
              <w:sz w:val="22"/>
              <w14:ligatures w14:val="standardContextual"/>
            </w:rPr>
          </w:pPr>
          <w:r>
            <w:rPr>
              <w:rFonts w:hint="eastAsia" w:ascii="宋体" w:hAnsi="宋体" w:cs="宋体"/>
              <w:sz w:val="32"/>
              <w:szCs w:val="32"/>
            </w:rPr>
            <w:fldChar w:fldCharType="begin"/>
          </w:r>
          <w:r>
            <w:rPr>
              <w:rFonts w:hint="eastAsia" w:ascii="宋体" w:hAnsi="宋体" w:cs="宋体"/>
              <w:sz w:val="32"/>
              <w:szCs w:val="32"/>
            </w:rPr>
            <w:instrText xml:space="preserve">TOC \o "1-3" \h \u </w:instrText>
          </w:r>
          <w:r>
            <w:rPr>
              <w:rFonts w:hint="eastAsia" w:ascii="宋体" w:hAnsi="宋体" w:cs="宋体"/>
              <w:sz w:val="32"/>
              <w:szCs w:val="32"/>
            </w:rPr>
            <w:fldChar w:fldCharType="separate"/>
          </w:r>
          <w:r>
            <w:fldChar w:fldCharType="begin"/>
          </w:r>
          <w:r>
            <w:instrText xml:space="preserve"> HYPERLINK \l "_Toc208325520" </w:instrText>
          </w:r>
          <w:r>
            <w:fldChar w:fldCharType="separate"/>
          </w:r>
          <w:r>
            <w:rPr>
              <w:rStyle w:val="24"/>
              <w:rFonts w:hint="eastAsia" w:ascii="黑体" w:hAnsi="黑体" w:eastAsia="黑体" w:cs="宋体"/>
            </w:rPr>
            <w:t>第一章</w:t>
          </w:r>
          <w:r>
            <w:rPr>
              <w:rStyle w:val="24"/>
              <w:rFonts w:hint="eastAsia" w:ascii="Calibri" w:hAnsi="Calibri" w:eastAsia="黑体" w:cs="Calibri"/>
            </w:rPr>
            <w:t xml:space="preserve">  </w:t>
          </w:r>
          <w:r>
            <w:rPr>
              <w:rStyle w:val="24"/>
              <w:rFonts w:hint="eastAsia" w:ascii="黑体" w:hAnsi="黑体" w:eastAsia="黑体" w:cs="宋体"/>
            </w:rPr>
            <w:t>询比公告</w:t>
          </w:r>
          <w:r>
            <w:rPr>
              <w:rFonts w:hint="eastAsia"/>
            </w:rPr>
            <w:tab/>
          </w:r>
          <w:r>
            <w:rPr>
              <w:rFonts w:hint="eastAsia"/>
            </w:rPr>
            <w:fldChar w:fldCharType="begin"/>
          </w:r>
          <w:r>
            <w:rPr>
              <w:rFonts w:hint="eastAsia"/>
            </w:rPr>
            <w:instrText xml:space="preserve"> </w:instrText>
          </w:r>
          <w:r>
            <w:instrText xml:space="preserve">PAGEREF _Toc208325520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602483C">
          <w:pPr>
            <w:pStyle w:val="16"/>
            <w:tabs>
              <w:tab w:val="right" w:leader="dot" w:pos="9912"/>
            </w:tabs>
            <w:rPr>
              <w:rFonts w:asciiTheme="minorHAnsi" w:hAnsiTheme="minorHAnsi" w:eastAsiaTheme="minorEastAsia" w:cstheme="minorBidi"/>
              <w:sz w:val="22"/>
              <w14:ligatures w14:val="standardContextual"/>
            </w:rPr>
          </w:pPr>
          <w:r>
            <w:fldChar w:fldCharType="begin"/>
          </w:r>
          <w:r>
            <w:instrText xml:space="preserve"> HYPERLINK \l "_Toc208325521" </w:instrText>
          </w:r>
          <w:r>
            <w:fldChar w:fldCharType="separate"/>
          </w:r>
          <w:r>
            <w:rPr>
              <w:rStyle w:val="24"/>
              <w:rFonts w:hint="eastAsia" w:ascii="宋体" w:hAnsi="宋体" w:cs="宋体"/>
            </w:rPr>
            <w:t>一、项目概况</w:t>
          </w:r>
          <w:r>
            <w:rPr>
              <w:rFonts w:hint="eastAsia"/>
            </w:rPr>
            <w:tab/>
          </w:r>
          <w:r>
            <w:rPr>
              <w:rFonts w:hint="eastAsia"/>
            </w:rPr>
            <w:fldChar w:fldCharType="begin"/>
          </w:r>
          <w:r>
            <w:rPr>
              <w:rFonts w:hint="eastAsia"/>
            </w:rPr>
            <w:instrText xml:space="preserve"> </w:instrText>
          </w:r>
          <w:r>
            <w:instrText xml:space="preserve">PAGEREF _Toc208325521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09A0E53">
          <w:pPr>
            <w:pStyle w:val="16"/>
            <w:tabs>
              <w:tab w:val="right" w:leader="dot" w:pos="9912"/>
            </w:tabs>
            <w:rPr>
              <w:rFonts w:asciiTheme="minorHAnsi" w:hAnsiTheme="minorHAnsi" w:eastAsiaTheme="minorEastAsia" w:cstheme="minorBidi"/>
              <w:sz w:val="22"/>
              <w14:ligatures w14:val="standardContextual"/>
            </w:rPr>
          </w:pPr>
          <w:r>
            <w:fldChar w:fldCharType="begin"/>
          </w:r>
          <w:r>
            <w:instrText xml:space="preserve"> HYPERLINK \l "_Toc208325522" </w:instrText>
          </w:r>
          <w:r>
            <w:fldChar w:fldCharType="separate"/>
          </w:r>
          <w:r>
            <w:rPr>
              <w:rStyle w:val="24"/>
              <w:rFonts w:hint="eastAsia" w:ascii="宋体" w:hAnsi="宋体" w:cs="宋体"/>
            </w:rPr>
            <w:t>二、参选人资格要求及审查办法</w:t>
          </w:r>
          <w:r>
            <w:rPr>
              <w:rFonts w:hint="eastAsia"/>
            </w:rPr>
            <w:tab/>
          </w:r>
          <w:r>
            <w:rPr>
              <w:rFonts w:hint="eastAsia"/>
            </w:rPr>
            <w:fldChar w:fldCharType="begin"/>
          </w:r>
          <w:r>
            <w:rPr>
              <w:rFonts w:hint="eastAsia"/>
            </w:rPr>
            <w:instrText xml:space="preserve"> </w:instrText>
          </w:r>
          <w:r>
            <w:instrText xml:space="preserve">PAGEREF _Toc208325522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124488A">
          <w:pPr>
            <w:pStyle w:val="16"/>
            <w:tabs>
              <w:tab w:val="right" w:leader="dot" w:pos="9912"/>
            </w:tabs>
            <w:rPr>
              <w:rFonts w:asciiTheme="minorHAnsi" w:hAnsiTheme="minorHAnsi" w:eastAsiaTheme="minorEastAsia" w:cstheme="minorBidi"/>
              <w:sz w:val="22"/>
              <w14:ligatures w14:val="standardContextual"/>
            </w:rPr>
          </w:pPr>
          <w:r>
            <w:fldChar w:fldCharType="begin"/>
          </w:r>
          <w:r>
            <w:instrText xml:space="preserve"> HYPERLINK \l "_Toc208325523" </w:instrText>
          </w:r>
          <w:r>
            <w:fldChar w:fldCharType="separate"/>
          </w:r>
          <w:r>
            <w:rPr>
              <w:rStyle w:val="24"/>
              <w:rFonts w:hint="eastAsia" w:ascii="宋体" w:hAnsi="宋体" w:cs="宋体"/>
            </w:rPr>
            <w:t>三、评选办法</w:t>
          </w:r>
          <w:r>
            <w:rPr>
              <w:rFonts w:hint="eastAsia"/>
            </w:rPr>
            <w:tab/>
          </w:r>
          <w:r>
            <w:rPr>
              <w:rFonts w:hint="eastAsia"/>
            </w:rPr>
            <w:fldChar w:fldCharType="begin"/>
          </w:r>
          <w:r>
            <w:rPr>
              <w:rFonts w:hint="eastAsia"/>
            </w:rPr>
            <w:instrText xml:space="preserve"> </w:instrText>
          </w:r>
          <w:r>
            <w:instrText xml:space="preserve">PAGEREF _Toc208325523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7FFAD6D">
          <w:pPr>
            <w:pStyle w:val="16"/>
            <w:tabs>
              <w:tab w:val="right" w:leader="dot" w:pos="9912"/>
            </w:tabs>
            <w:rPr>
              <w:rFonts w:asciiTheme="minorHAnsi" w:hAnsiTheme="minorHAnsi" w:eastAsiaTheme="minorEastAsia" w:cstheme="minorBidi"/>
              <w:sz w:val="22"/>
              <w14:ligatures w14:val="standardContextual"/>
            </w:rPr>
          </w:pPr>
          <w:r>
            <w:fldChar w:fldCharType="begin"/>
          </w:r>
          <w:r>
            <w:instrText xml:space="preserve"> HYPERLINK \l "_Toc208325524" </w:instrText>
          </w:r>
          <w:r>
            <w:fldChar w:fldCharType="separate"/>
          </w:r>
          <w:r>
            <w:rPr>
              <w:rStyle w:val="24"/>
              <w:rFonts w:hint="eastAsia" w:ascii="宋体" w:hAnsi="宋体" w:cs="宋体"/>
            </w:rPr>
            <w:t>四、</w:t>
          </w:r>
          <w:r>
            <w:rPr>
              <w:rStyle w:val="24"/>
              <w:rFonts w:hint="eastAsia" w:ascii="宋体" w:hAnsi="宋体" w:cs="宋体"/>
              <w:lang w:val="en-US" w:eastAsia="zh-CN"/>
            </w:rPr>
            <w:t>采购</w:t>
          </w:r>
          <w:r>
            <w:rPr>
              <w:rStyle w:val="24"/>
              <w:rFonts w:hint="eastAsia" w:ascii="宋体" w:hAnsi="宋体" w:cs="宋体"/>
            </w:rPr>
            <w:t>文件的获取</w:t>
          </w:r>
          <w:r>
            <w:rPr>
              <w:rFonts w:hint="eastAsia"/>
            </w:rPr>
            <w:tab/>
          </w:r>
          <w:r>
            <w:rPr>
              <w:rFonts w:hint="eastAsia"/>
            </w:rPr>
            <w:fldChar w:fldCharType="begin"/>
          </w:r>
          <w:r>
            <w:rPr>
              <w:rFonts w:hint="eastAsia"/>
            </w:rPr>
            <w:instrText xml:space="preserve"> </w:instrText>
          </w:r>
          <w:r>
            <w:instrText xml:space="preserve">PAGEREF _Toc208325524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6AD0508">
          <w:pPr>
            <w:pStyle w:val="16"/>
            <w:tabs>
              <w:tab w:val="right" w:leader="dot" w:pos="9912"/>
            </w:tabs>
            <w:rPr>
              <w:rFonts w:asciiTheme="minorHAnsi" w:hAnsiTheme="minorHAnsi" w:eastAsiaTheme="minorEastAsia" w:cstheme="minorBidi"/>
              <w:sz w:val="22"/>
              <w14:ligatures w14:val="standardContextual"/>
            </w:rPr>
          </w:pPr>
          <w:r>
            <w:fldChar w:fldCharType="begin"/>
          </w:r>
          <w:r>
            <w:instrText xml:space="preserve"> HYPERLINK \l "_Toc208325525" </w:instrText>
          </w:r>
          <w:r>
            <w:fldChar w:fldCharType="separate"/>
          </w:r>
          <w:r>
            <w:rPr>
              <w:rStyle w:val="24"/>
              <w:rFonts w:hint="eastAsia" w:ascii="宋体" w:hAnsi="宋体" w:cs="宋体"/>
            </w:rPr>
            <w:t>五、参选文件递交要求时间、地点</w:t>
          </w:r>
          <w:r>
            <w:rPr>
              <w:rFonts w:hint="eastAsia"/>
            </w:rPr>
            <w:tab/>
          </w:r>
          <w:r>
            <w:rPr>
              <w:rFonts w:hint="eastAsia"/>
            </w:rPr>
            <w:fldChar w:fldCharType="begin"/>
          </w:r>
          <w:r>
            <w:rPr>
              <w:rFonts w:hint="eastAsia"/>
            </w:rPr>
            <w:instrText xml:space="preserve"> </w:instrText>
          </w:r>
          <w:r>
            <w:instrText xml:space="preserve">PAGEREF _Toc208325525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6A6B835">
          <w:pPr>
            <w:pStyle w:val="16"/>
            <w:tabs>
              <w:tab w:val="right" w:leader="dot" w:pos="9912"/>
            </w:tabs>
            <w:rPr>
              <w:rFonts w:asciiTheme="minorHAnsi" w:hAnsiTheme="minorHAnsi" w:eastAsiaTheme="minorEastAsia" w:cstheme="minorBidi"/>
              <w:sz w:val="22"/>
              <w14:ligatures w14:val="standardContextual"/>
            </w:rPr>
          </w:pPr>
          <w:r>
            <w:fldChar w:fldCharType="begin"/>
          </w:r>
          <w:r>
            <w:instrText xml:space="preserve"> HYPERLINK \l "_Toc208325526" </w:instrText>
          </w:r>
          <w:r>
            <w:fldChar w:fldCharType="separate"/>
          </w:r>
          <w:r>
            <w:rPr>
              <w:rStyle w:val="24"/>
              <w:rFonts w:hint="eastAsia" w:ascii="宋体" w:hAnsi="宋体" w:cs="宋体"/>
            </w:rPr>
            <w:t>六、联系方式</w:t>
          </w:r>
          <w:r>
            <w:rPr>
              <w:rFonts w:hint="eastAsia"/>
            </w:rPr>
            <w:tab/>
          </w:r>
          <w:r>
            <w:rPr>
              <w:rFonts w:hint="eastAsia"/>
            </w:rPr>
            <w:fldChar w:fldCharType="begin"/>
          </w:r>
          <w:r>
            <w:rPr>
              <w:rFonts w:hint="eastAsia"/>
            </w:rPr>
            <w:instrText xml:space="preserve"> </w:instrText>
          </w:r>
          <w:r>
            <w:instrText xml:space="preserve">PAGEREF _Toc208325526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4F59ADA">
          <w:pPr>
            <w:pStyle w:val="14"/>
            <w:tabs>
              <w:tab w:val="right" w:leader="dot" w:pos="9912"/>
            </w:tabs>
            <w:rPr>
              <w:rFonts w:asciiTheme="minorHAnsi" w:hAnsiTheme="minorHAnsi" w:eastAsiaTheme="minorEastAsia" w:cstheme="minorBidi"/>
              <w:sz w:val="22"/>
              <w14:ligatures w14:val="standardContextual"/>
            </w:rPr>
          </w:pPr>
          <w:r>
            <w:fldChar w:fldCharType="begin"/>
          </w:r>
          <w:r>
            <w:instrText xml:space="preserve"> HYPERLINK \l "_Toc208325527" </w:instrText>
          </w:r>
          <w:r>
            <w:fldChar w:fldCharType="separate"/>
          </w:r>
          <w:r>
            <w:rPr>
              <w:rStyle w:val="24"/>
              <w:rFonts w:hint="eastAsia" w:ascii="黑体" w:hAnsi="黑体" w:eastAsia="黑体" w:cs="宋体"/>
            </w:rPr>
            <w:t>第二章  参选人须知前附表</w:t>
          </w:r>
          <w:r>
            <w:rPr>
              <w:rFonts w:hint="eastAsia"/>
            </w:rPr>
            <w:tab/>
          </w:r>
          <w:r>
            <w:rPr>
              <w:rFonts w:hint="eastAsia"/>
            </w:rPr>
            <w:fldChar w:fldCharType="begin"/>
          </w:r>
          <w:r>
            <w:rPr>
              <w:rFonts w:hint="eastAsia"/>
            </w:rPr>
            <w:instrText xml:space="preserve"> </w:instrText>
          </w:r>
          <w:r>
            <w:instrText xml:space="preserve">PAGEREF _Toc208325527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D426F9E">
          <w:pPr>
            <w:pStyle w:val="14"/>
            <w:tabs>
              <w:tab w:val="right" w:leader="dot" w:pos="9912"/>
            </w:tabs>
            <w:rPr>
              <w:rFonts w:asciiTheme="minorHAnsi" w:hAnsiTheme="minorHAnsi" w:eastAsiaTheme="minorEastAsia" w:cstheme="minorBidi"/>
              <w:sz w:val="22"/>
              <w14:ligatures w14:val="standardContextual"/>
            </w:rPr>
          </w:pPr>
          <w:r>
            <w:fldChar w:fldCharType="begin"/>
          </w:r>
          <w:r>
            <w:instrText xml:space="preserve"> HYPERLINK \l "_Toc208325528" </w:instrText>
          </w:r>
          <w:r>
            <w:fldChar w:fldCharType="separate"/>
          </w:r>
          <w:r>
            <w:rPr>
              <w:rStyle w:val="24"/>
              <w:rFonts w:hint="eastAsia" w:ascii="黑体" w:hAnsi="黑体" w:eastAsia="黑体" w:cs="宋体"/>
            </w:rPr>
            <w:t>第三章  参选人须知</w:t>
          </w:r>
          <w:r>
            <w:rPr>
              <w:rFonts w:hint="eastAsia"/>
            </w:rPr>
            <w:tab/>
          </w:r>
          <w:r>
            <w:rPr>
              <w:rFonts w:hint="eastAsia"/>
            </w:rPr>
            <w:fldChar w:fldCharType="begin"/>
          </w:r>
          <w:r>
            <w:rPr>
              <w:rFonts w:hint="eastAsia"/>
            </w:rPr>
            <w:instrText xml:space="preserve"> </w:instrText>
          </w:r>
          <w:r>
            <w:instrText xml:space="preserve">PAGEREF _Toc208325528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8C0D2C0">
          <w:pPr>
            <w:pStyle w:val="16"/>
            <w:tabs>
              <w:tab w:val="right" w:leader="dot" w:pos="9912"/>
            </w:tabs>
            <w:rPr>
              <w:rFonts w:asciiTheme="minorHAnsi" w:hAnsiTheme="minorHAnsi" w:eastAsiaTheme="minorEastAsia" w:cstheme="minorBidi"/>
              <w:sz w:val="22"/>
              <w14:ligatures w14:val="standardContextual"/>
            </w:rPr>
          </w:pPr>
          <w:r>
            <w:fldChar w:fldCharType="begin"/>
          </w:r>
          <w:r>
            <w:instrText xml:space="preserve"> HYPERLINK \l "_Toc208325529" </w:instrText>
          </w:r>
          <w:r>
            <w:fldChar w:fldCharType="separate"/>
          </w:r>
          <w:r>
            <w:rPr>
              <w:rStyle w:val="24"/>
              <w:rFonts w:hint="eastAsia" w:ascii="宋体" w:hAnsi="宋体" w:cs="宋体"/>
            </w:rPr>
            <w:t>一、总则</w:t>
          </w:r>
          <w:r>
            <w:rPr>
              <w:rFonts w:hint="eastAsia"/>
            </w:rPr>
            <w:tab/>
          </w:r>
          <w:r>
            <w:rPr>
              <w:rFonts w:hint="eastAsia"/>
            </w:rPr>
            <w:fldChar w:fldCharType="begin"/>
          </w:r>
          <w:r>
            <w:rPr>
              <w:rFonts w:hint="eastAsia"/>
            </w:rPr>
            <w:instrText xml:space="preserve"> </w:instrText>
          </w:r>
          <w:r>
            <w:instrText xml:space="preserve">PAGEREF _Toc208325529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861B4C3">
          <w:pPr>
            <w:pStyle w:val="16"/>
            <w:tabs>
              <w:tab w:val="right" w:leader="dot" w:pos="9912"/>
            </w:tabs>
            <w:rPr>
              <w:rFonts w:asciiTheme="minorHAnsi" w:hAnsiTheme="minorHAnsi" w:eastAsiaTheme="minorEastAsia" w:cstheme="minorBidi"/>
              <w:sz w:val="22"/>
              <w14:ligatures w14:val="standardContextual"/>
            </w:rPr>
          </w:pPr>
          <w:r>
            <w:fldChar w:fldCharType="begin"/>
          </w:r>
          <w:r>
            <w:instrText xml:space="preserve"> HYPERLINK \l "_Toc208325530" </w:instrText>
          </w:r>
          <w:r>
            <w:fldChar w:fldCharType="separate"/>
          </w:r>
          <w:r>
            <w:rPr>
              <w:rStyle w:val="24"/>
              <w:rFonts w:hint="eastAsia" w:ascii="宋体" w:hAnsi="宋体" w:cs="宋体"/>
            </w:rPr>
            <w:t>二、参选人</w:t>
          </w:r>
          <w:r>
            <w:rPr>
              <w:rFonts w:hint="eastAsia"/>
            </w:rPr>
            <w:tab/>
          </w:r>
          <w:r>
            <w:rPr>
              <w:rFonts w:hint="eastAsia"/>
            </w:rPr>
            <w:fldChar w:fldCharType="begin"/>
          </w:r>
          <w:r>
            <w:rPr>
              <w:rFonts w:hint="eastAsia"/>
            </w:rPr>
            <w:instrText xml:space="preserve"> </w:instrText>
          </w:r>
          <w:r>
            <w:instrText xml:space="preserve">PAGEREF _Toc208325530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76092B5">
          <w:pPr>
            <w:pStyle w:val="16"/>
            <w:tabs>
              <w:tab w:val="right" w:leader="dot" w:pos="9912"/>
            </w:tabs>
            <w:rPr>
              <w:rFonts w:asciiTheme="minorHAnsi" w:hAnsiTheme="minorHAnsi" w:eastAsiaTheme="minorEastAsia" w:cstheme="minorBidi"/>
              <w:sz w:val="22"/>
              <w14:ligatures w14:val="standardContextual"/>
            </w:rPr>
          </w:pPr>
          <w:r>
            <w:fldChar w:fldCharType="begin"/>
          </w:r>
          <w:r>
            <w:instrText xml:space="preserve"> HYPERLINK \l "_Toc208325531" </w:instrText>
          </w:r>
          <w:r>
            <w:fldChar w:fldCharType="separate"/>
          </w:r>
          <w:r>
            <w:rPr>
              <w:rStyle w:val="24"/>
              <w:rFonts w:hint="eastAsia"/>
            </w:rPr>
            <w:t>三、比选</w:t>
          </w:r>
          <w:r>
            <w:rPr>
              <w:rFonts w:hint="eastAsia"/>
            </w:rPr>
            <w:tab/>
          </w:r>
          <w:r>
            <w:rPr>
              <w:rFonts w:hint="eastAsia"/>
            </w:rPr>
            <w:fldChar w:fldCharType="begin"/>
          </w:r>
          <w:r>
            <w:rPr>
              <w:rFonts w:hint="eastAsia"/>
            </w:rPr>
            <w:instrText xml:space="preserve"> </w:instrText>
          </w:r>
          <w:r>
            <w:instrText xml:space="preserve">PAGEREF _Toc208325531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EE8D284">
          <w:pPr>
            <w:pStyle w:val="16"/>
            <w:tabs>
              <w:tab w:val="right" w:leader="dot" w:pos="9912"/>
            </w:tabs>
            <w:rPr>
              <w:rFonts w:asciiTheme="minorHAnsi" w:hAnsiTheme="minorHAnsi" w:eastAsiaTheme="minorEastAsia" w:cstheme="minorBidi"/>
              <w:sz w:val="22"/>
              <w14:ligatures w14:val="standardContextual"/>
            </w:rPr>
          </w:pPr>
          <w:r>
            <w:fldChar w:fldCharType="begin"/>
          </w:r>
          <w:r>
            <w:instrText xml:space="preserve"> HYPERLINK \l "_Toc208325532" </w:instrText>
          </w:r>
          <w:r>
            <w:fldChar w:fldCharType="separate"/>
          </w:r>
          <w:r>
            <w:rPr>
              <w:rStyle w:val="24"/>
              <w:rFonts w:hint="eastAsia"/>
            </w:rPr>
            <w:t>五、中选与采购合同</w:t>
          </w:r>
          <w:r>
            <w:rPr>
              <w:rFonts w:hint="eastAsia"/>
            </w:rPr>
            <w:tab/>
          </w:r>
          <w:r>
            <w:rPr>
              <w:rFonts w:hint="eastAsia"/>
            </w:rPr>
            <w:fldChar w:fldCharType="begin"/>
          </w:r>
          <w:r>
            <w:rPr>
              <w:rFonts w:hint="eastAsia"/>
            </w:rPr>
            <w:instrText xml:space="preserve"> </w:instrText>
          </w:r>
          <w:r>
            <w:instrText xml:space="preserve">PAGEREF _Toc208325532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64E0E499">
          <w:pPr>
            <w:pStyle w:val="16"/>
            <w:tabs>
              <w:tab w:val="right" w:leader="dot" w:pos="9912"/>
            </w:tabs>
            <w:rPr>
              <w:rFonts w:asciiTheme="minorHAnsi" w:hAnsiTheme="minorHAnsi" w:eastAsiaTheme="minorEastAsia" w:cstheme="minorBidi"/>
              <w:sz w:val="22"/>
              <w14:ligatures w14:val="standardContextual"/>
            </w:rPr>
          </w:pPr>
          <w:r>
            <w:fldChar w:fldCharType="begin"/>
          </w:r>
          <w:r>
            <w:instrText xml:space="preserve"> HYPERLINK \l "_Toc208325533" </w:instrText>
          </w:r>
          <w:r>
            <w:fldChar w:fldCharType="separate"/>
          </w:r>
          <w:r>
            <w:rPr>
              <w:rStyle w:val="24"/>
              <w:rFonts w:hint="eastAsia"/>
            </w:rPr>
            <w:t>六、本项目的有关信息</w:t>
          </w:r>
          <w:r>
            <w:rPr>
              <w:rFonts w:hint="eastAsia"/>
            </w:rPr>
            <w:tab/>
          </w:r>
          <w:r>
            <w:rPr>
              <w:rFonts w:hint="eastAsia"/>
            </w:rPr>
            <w:fldChar w:fldCharType="begin"/>
          </w:r>
          <w:r>
            <w:rPr>
              <w:rFonts w:hint="eastAsia"/>
            </w:rPr>
            <w:instrText xml:space="preserve"> </w:instrText>
          </w:r>
          <w:r>
            <w:instrText xml:space="preserve">PAGEREF _Toc208325533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22AEA8D6">
          <w:pPr>
            <w:pStyle w:val="14"/>
            <w:tabs>
              <w:tab w:val="right" w:leader="dot" w:pos="9912"/>
            </w:tabs>
            <w:rPr>
              <w:rFonts w:asciiTheme="minorHAnsi" w:hAnsiTheme="minorHAnsi" w:eastAsiaTheme="minorEastAsia" w:cstheme="minorBidi"/>
              <w:sz w:val="22"/>
              <w14:ligatures w14:val="standardContextual"/>
            </w:rPr>
          </w:pPr>
          <w:r>
            <w:fldChar w:fldCharType="begin"/>
          </w:r>
          <w:r>
            <w:instrText xml:space="preserve"> HYPERLINK \l "_Toc208325534" </w:instrText>
          </w:r>
          <w:r>
            <w:fldChar w:fldCharType="separate"/>
          </w:r>
          <w:r>
            <w:rPr>
              <w:rStyle w:val="24"/>
              <w:rFonts w:hint="eastAsia" w:ascii="黑体" w:hAnsi="黑体" w:eastAsia="黑体" w:cs="宋体"/>
            </w:rPr>
            <w:t>第四章</w:t>
          </w:r>
          <w:r>
            <w:rPr>
              <w:rStyle w:val="24"/>
              <w:rFonts w:hint="eastAsia" w:ascii="Calibri" w:hAnsi="Calibri" w:eastAsia="黑体" w:cs="Calibri"/>
            </w:rPr>
            <w:t xml:space="preserve">  </w:t>
          </w:r>
          <w:r>
            <w:rPr>
              <w:rStyle w:val="24"/>
              <w:rFonts w:hint="eastAsia" w:ascii="黑体" w:hAnsi="黑体" w:eastAsia="黑体" w:cs="宋体"/>
            </w:rPr>
            <w:t>资格审查与评审</w:t>
          </w:r>
          <w:r>
            <w:rPr>
              <w:rFonts w:hint="eastAsia"/>
            </w:rPr>
            <w:tab/>
          </w:r>
          <w:r>
            <w:rPr>
              <w:rFonts w:hint="eastAsia"/>
            </w:rPr>
            <w:fldChar w:fldCharType="begin"/>
          </w:r>
          <w:r>
            <w:rPr>
              <w:rFonts w:hint="eastAsia"/>
            </w:rPr>
            <w:instrText xml:space="preserve"> </w:instrText>
          </w:r>
          <w:r>
            <w:instrText xml:space="preserve">PAGEREF _Toc208325534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218FD8C2">
          <w:pPr>
            <w:pStyle w:val="16"/>
            <w:tabs>
              <w:tab w:val="right" w:leader="dot" w:pos="9912"/>
            </w:tabs>
            <w:rPr>
              <w:rFonts w:asciiTheme="minorHAnsi" w:hAnsiTheme="minorHAnsi" w:eastAsiaTheme="minorEastAsia" w:cstheme="minorBidi"/>
              <w:sz w:val="22"/>
              <w14:ligatures w14:val="standardContextual"/>
            </w:rPr>
          </w:pPr>
          <w:r>
            <w:fldChar w:fldCharType="begin"/>
          </w:r>
          <w:r>
            <w:instrText xml:space="preserve"> HYPERLINK \l "_Toc208325535" </w:instrText>
          </w:r>
          <w:r>
            <w:fldChar w:fldCharType="separate"/>
          </w:r>
          <w:r>
            <w:rPr>
              <w:rStyle w:val="24"/>
              <w:rFonts w:hint="eastAsia"/>
            </w:rPr>
            <w:t>一、资格审查</w:t>
          </w:r>
          <w:r>
            <w:rPr>
              <w:rFonts w:hint="eastAsia"/>
            </w:rPr>
            <w:tab/>
          </w:r>
          <w:r>
            <w:rPr>
              <w:rFonts w:hint="eastAsia"/>
            </w:rPr>
            <w:fldChar w:fldCharType="begin"/>
          </w:r>
          <w:r>
            <w:rPr>
              <w:rFonts w:hint="eastAsia"/>
            </w:rPr>
            <w:instrText xml:space="preserve"> </w:instrText>
          </w:r>
          <w:r>
            <w:instrText xml:space="preserve">PAGEREF _Toc208325535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267B5B1A">
          <w:pPr>
            <w:pStyle w:val="16"/>
            <w:tabs>
              <w:tab w:val="right" w:leader="dot" w:pos="9912"/>
            </w:tabs>
            <w:rPr>
              <w:rFonts w:asciiTheme="minorHAnsi" w:hAnsiTheme="minorHAnsi" w:eastAsiaTheme="minorEastAsia" w:cstheme="minorBidi"/>
              <w:sz w:val="22"/>
              <w14:ligatures w14:val="standardContextual"/>
            </w:rPr>
          </w:pPr>
          <w:r>
            <w:fldChar w:fldCharType="begin"/>
          </w:r>
          <w:r>
            <w:instrText xml:space="preserve"> HYPERLINK \l "_Toc208325536" </w:instrText>
          </w:r>
          <w:r>
            <w:fldChar w:fldCharType="separate"/>
          </w:r>
          <w:r>
            <w:rPr>
              <w:rStyle w:val="24"/>
              <w:rFonts w:hint="eastAsia"/>
            </w:rPr>
            <w:t>二、评审方法和标准</w:t>
          </w:r>
          <w:r>
            <w:rPr>
              <w:rFonts w:hint="eastAsia"/>
            </w:rPr>
            <w:tab/>
          </w:r>
          <w:r>
            <w:rPr>
              <w:rFonts w:hint="eastAsia"/>
            </w:rPr>
            <w:fldChar w:fldCharType="begin"/>
          </w:r>
          <w:r>
            <w:rPr>
              <w:rFonts w:hint="eastAsia"/>
            </w:rPr>
            <w:instrText xml:space="preserve"> </w:instrText>
          </w:r>
          <w:r>
            <w:instrText xml:space="preserve">PAGEREF _Toc208325536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6562B901">
          <w:pPr>
            <w:pStyle w:val="14"/>
            <w:tabs>
              <w:tab w:val="right" w:leader="dot" w:pos="9912"/>
            </w:tabs>
            <w:rPr>
              <w:rFonts w:asciiTheme="minorHAnsi" w:hAnsiTheme="minorHAnsi" w:eastAsiaTheme="minorEastAsia" w:cstheme="minorBidi"/>
              <w:sz w:val="22"/>
              <w14:ligatures w14:val="standardContextual"/>
            </w:rPr>
          </w:pPr>
          <w:r>
            <w:fldChar w:fldCharType="begin"/>
          </w:r>
          <w:r>
            <w:instrText xml:space="preserve"> HYPERLINK \l "_Toc208325537" </w:instrText>
          </w:r>
          <w:r>
            <w:fldChar w:fldCharType="separate"/>
          </w:r>
          <w:r>
            <w:rPr>
              <w:rStyle w:val="24"/>
              <w:rFonts w:hint="eastAsia" w:ascii="黑体" w:hAnsi="黑体" w:eastAsia="黑体" w:cs="宋体"/>
            </w:rPr>
            <w:t>第五章</w:t>
          </w:r>
          <w:r>
            <w:rPr>
              <w:rStyle w:val="24"/>
              <w:rFonts w:hint="eastAsia" w:ascii="Calibri" w:hAnsi="Calibri" w:eastAsia="黑体" w:cs="Calibri"/>
            </w:rPr>
            <w:t xml:space="preserve">  </w:t>
          </w:r>
          <w:r>
            <w:rPr>
              <w:rStyle w:val="24"/>
              <w:rFonts w:hint="eastAsia" w:ascii="黑体" w:hAnsi="黑体" w:eastAsia="黑体" w:cs="宋体"/>
            </w:rPr>
            <w:t>比选内容及要求</w:t>
          </w:r>
          <w:r>
            <w:rPr>
              <w:rFonts w:hint="eastAsia"/>
            </w:rPr>
            <w:tab/>
          </w:r>
          <w:r>
            <w:rPr>
              <w:rFonts w:hint="eastAsia"/>
            </w:rPr>
            <w:fldChar w:fldCharType="begin"/>
          </w:r>
          <w:r>
            <w:rPr>
              <w:rFonts w:hint="eastAsia"/>
            </w:rPr>
            <w:instrText xml:space="preserve"> </w:instrText>
          </w:r>
          <w:r>
            <w:instrText xml:space="preserve">PAGEREF _Toc208325537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17603CEC">
          <w:pPr>
            <w:pStyle w:val="16"/>
            <w:tabs>
              <w:tab w:val="right" w:leader="dot" w:pos="9912"/>
            </w:tabs>
            <w:rPr>
              <w:rFonts w:asciiTheme="minorHAnsi" w:hAnsiTheme="minorHAnsi" w:eastAsiaTheme="minorEastAsia" w:cstheme="minorBidi"/>
              <w:sz w:val="22"/>
              <w14:ligatures w14:val="standardContextual"/>
            </w:rPr>
          </w:pPr>
          <w:r>
            <w:fldChar w:fldCharType="begin"/>
          </w:r>
          <w:r>
            <w:instrText xml:space="preserve"> HYPERLINK \l "_Toc208325538" </w:instrText>
          </w:r>
          <w:r>
            <w:fldChar w:fldCharType="separate"/>
          </w:r>
          <w:r>
            <w:rPr>
              <w:rStyle w:val="24"/>
              <w:rFonts w:hint="eastAsia"/>
            </w:rPr>
            <w:t>一、项目概况</w:t>
          </w:r>
          <w:r>
            <w:rPr>
              <w:rFonts w:hint="eastAsia"/>
            </w:rPr>
            <w:tab/>
          </w:r>
          <w:r>
            <w:rPr>
              <w:rFonts w:hint="eastAsia"/>
            </w:rPr>
            <w:fldChar w:fldCharType="begin"/>
          </w:r>
          <w:r>
            <w:rPr>
              <w:rFonts w:hint="eastAsia"/>
            </w:rPr>
            <w:instrText xml:space="preserve"> </w:instrText>
          </w:r>
          <w:r>
            <w:instrText xml:space="preserve">PAGEREF _Toc208325538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620DF03D">
          <w:pPr>
            <w:pStyle w:val="16"/>
            <w:tabs>
              <w:tab w:val="right" w:leader="dot" w:pos="9912"/>
            </w:tabs>
            <w:rPr>
              <w:rFonts w:asciiTheme="minorHAnsi" w:hAnsiTheme="minorHAnsi" w:eastAsiaTheme="minorEastAsia" w:cstheme="minorBidi"/>
              <w:sz w:val="22"/>
              <w14:ligatures w14:val="standardContextual"/>
            </w:rPr>
          </w:pPr>
          <w:r>
            <w:fldChar w:fldCharType="begin"/>
          </w:r>
          <w:r>
            <w:instrText xml:space="preserve"> HYPERLINK \l "_Toc208325539" </w:instrText>
          </w:r>
          <w:r>
            <w:fldChar w:fldCharType="separate"/>
          </w:r>
          <w:r>
            <w:rPr>
              <w:rStyle w:val="24"/>
              <w:rFonts w:hint="eastAsia"/>
            </w:rPr>
            <w:t>二、服务内容及对象</w:t>
          </w:r>
          <w:r>
            <w:rPr>
              <w:rFonts w:hint="eastAsia"/>
            </w:rPr>
            <w:tab/>
          </w:r>
          <w:r>
            <w:rPr>
              <w:rFonts w:hint="eastAsia"/>
            </w:rPr>
            <w:fldChar w:fldCharType="begin"/>
          </w:r>
          <w:r>
            <w:rPr>
              <w:rFonts w:hint="eastAsia"/>
            </w:rPr>
            <w:instrText xml:space="preserve"> </w:instrText>
          </w:r>
          <w:r>
            <w:instrText xml:space="preserve">PAGEREF _Toc208325539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4BC65171">
          <w:pPr>
            <w:pStyle w:val="16"/>
            <w:tabs>
              <w:tab w:val="right" w:leader="dot" w:pos="9912"/>
            </w:tabs>
            <w:rPr>
              <w:rFonts w:asciiTheme="minorHAnsi" w:hAnsiTheme="minorHAnsi" w:eastAsiaTheme="minorEastAsia" w:cstheme="minorBidi"/>
              <w:sz w:val="22"/>
              <w14:ligatures w14:val="standardContextual"/>
            </w:rPr>
          </w:pPr>
          <w:r>
            <w:fldChar w:fldCharType="begin"/>
          </w:r>
          <w:r>
            <w:instrText xml:space="preserve"> HYPERLINK \l "_Toc208325540" </w:instrText>
          </w:r>
          <w:r>
            <w:fldChar w:fldCharType="separate"/>
          </w:r>
          <w:r>
            <w:rPr>
              <w:rStyle w:val="24"/>
              <w:rFonts w:hint="eastAsia"/>
            </w:rPr>
            <w:t>三、服务依据</w:t>
          </w:r>
          <w:r>
            <w:rPr>
              <w:rFonts w:hint="eastAsia"/>
            </w:rPr>
            <w:tab/>
          </w:r>
          <w:r>
            <w:rPr>
              <w:rFonts w:hint="eastAsia"/>
            </w:rPr>
            <w:fldChar w:fldCharType="begin"/>
          </w:r>
          <w:r>
            <w:rPr>
              <w:rFonts w:hint="eastAsia"/>
            </w:rPr>
            <w:instrText xml:space="preserve"> </w:instrText>
          </w:r>
          <w:r>
            <w:instrText xml:space="preserve">PAGEREF _Toc208325540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122F2A81">
          <w:pPr>
            <w:pStyle w:val="16"/>
            <w:tabs>
              <w:tab w:val="right" w:leader="dot" w:pos="9912"/>
            </w:tabs>
            <w:rPr>
              <w:rFonts w:asciiTheme="minorHAnsi" w:hAnsiTheme="minorHAnsi" w:eastAsiaTheme="minorEastAsia" w:cstheme="minorBidi"/>
              <w:sz w:val="22"/>
              <w14:ligatures w14:val="standardContextual"/>
            </w:rPr>
          </w:pPr>
          <w:r>
            <w:fldChar w:fldCharType="begin"/>
          </w:r>
          <w:r>
            <w:instrText xml:space="preserve"> HYPERLINK \l "_Toc208325541" </w:instrText>
          </w:r>
          <w:r>
            <w:fldChar w:fldCharType="separate"/>
          </w:r>
          <w:r>
            <w:rPr>
              <w:rStyle w:val="24"/>
              <w:rFonts w:hint="eastAsia"/>
            </w:rPr>
            <w:t>四、比选内容及要求</w:t>
          </w:r>
          <w:r>
            <w:rPr>
              <w:rFonts w:hint="eastAsia"/>
            </w:rPr>
            <w:tab/>
          </w:r>
          <w:r>
            <w:rPr>
              <w:rFonts w:hint="eastAsia"/>
            </w:rPr>
            <w:fldChar w:fldCharType="begin"/>
          </w:r>
          <w:r>
            <w:rPr>
              <w:rFonts w:hint="eastAsia"/>
            </w:rPr>
            <w:instrText xml:space="preserve"> </w:instrText>
          </w:r>
          <w:r>
            <w:instrText xml:space="preserve">PAGEREF _Toc208325541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367E5129">
          <w:pPr>
            <w:pStyle w:val="16"/>
            <w:tabs>
              <w:tab w:val="right" w:leader="dot" w:pos="9912"/>
            </w:tabs>
            <w:rPr>
              <w:rFonts w:asciiTheme="minorHAnsi" w:hAnsiTheme="minorHAnsi" w:eastAsiaTheme="minorEastAsia" w:cstheme="minorBidi"/>
              <w:sz w:val="22"/>
              <w14:ligatures w14:val="standardContextual"/>
            </w:rPr>
          </w:pPr>
          <w:r>
            <w:fldChar w:fldCharType="begin"/>
          </w:r>
          <w:r>
            <w:instrText xml:space="preserve"> HYPERLINK \l "_Toc208325542" </w:instrText>
          </w:r>
          <w:r>
            <w:fldChar w:fldCharType="separate"/>
          </w:r>
          <w:r>
            <w:rPr>
              <w:rStyle w:val="24"/>
              <w:rFonts w:hint="eastAsia"/>
            </w:rPr>
            <w:t>五、其他要求</w:t>
          </w:r>
          <w:r>
            <w:rPr>
              <w:rFonts w:hint="eastAsia"/>
            </w:rPr>
            <w:tab/>
          </w:r>
          <w:r>
            <w:rPr>
              <w:rFonts w:hint="eastAsia"/>
            </w:rPr>
            <w:fldChar w:fldCharType="begin"/>
          </w:r>
          <w:r>
            <w:rPr>
              <w:rFonts w:hint="eastAsia"/>
            </w:rPr>
            <w:instrText xml:space="preserve"> </w:instrText>
          </w:r>
          <w:r>
            <w:instrText xml:space="preserve">PAGEREF _Toc208325542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26FC5183">
          <w:pPr>
            <w:pStyle w:val="14"/>
            <w:tabs>
              <w:tab w:val="right" w:leader="dot" w:pos="9912"/>
            </w:tabs>
            <w:rPr>
              <w:rFonts w:asciiTheme="minorHAnsi" w:hAnsiTheme="minorHAnsi" w:eastAsiaTheme="minorEastAsia" w:cstheme="minorBidi"/>
              <w:sz w:val="22"/>
              <w14:ligatures w14:val="standardContextual"/>
            </w:rPr>
          </w:pPr>
          <w:r>
            <w:fldChar w:fldCharType="begin"/>
          </w:r>
          <w:r>
            <w:instrText xml:space="preserve"> HYPERLINK \l "_Toc208325543" </w:instrText>
          </w:r>
          <w:r>
            <w:fldChar w:fldCharType="separate"/>
          </w:r>
          <w:r>
            <w:rPr>
              <w:rStyle w:val="24"/>
              <w:rFonts w:hint="eastAsia" w:ascii="黑体" w:hAnsi="黑体" w:eastAsia="黑体" w:cs="宋体"/>
            </w:rPr>
            <w:t>第六章</w:t>
          </w:r>
          <w:r>
            <w:rPr>
              <w:rStyle w:val="24"/>
              <w:rFonts w:hint="eastAsia" w:ascii="Calibri" w:hAnsi="Calibri" w:eastAsia="黑体" w:cs="Calibri"/>
            </w:rPr>
            <w:t xml:space="preserve">  </w:t>
          </w:r>
          <w:r>
            <w:rPr>
              <w:rStyle w:val="24"/>
              <w:rFonts w:hint="eastAsia" w:ascii="黑体" w:hAnsi="黑体" w:eastAsia="黑体" w:cs="宋体"/>
            </w:rPr>
            <w:t>采购合同（范本）</w:t>
          </w:r>
          <w:r>
            <w:rPr>
              <w:rFonts w:hint="eastAsia"/>
            </w:rPr>
            <w:tab/>
          </w:r>
          <w:r>
            <w:rPr>
              <w:rFonts w:hint="eastAsia"/>
            </w:rPr>
            <w:fldChar w:fldCharType="begin"/>
          </w:r>
          <w:r>
            <w:rPr>
              <w:rFonts w:hint="eastAsia"/>
            </w:rPr>
            <w:instrText xml:space="preserve"> </w:instrText>
          </w:r>
          <w:r>
            <w:instrText xml:space="preserve">PAGEREF _Toc208325543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38CFCA3C">
          <w:pPr>
            <w:pStyle w:val="14"/>
            <w:tabs>
              <w:tab w:val="right" w:leader="dot" w:pos="9912"/>
            </w:tabs>
            <w:rPr>
              <w:rFonts w:asciiTheme="minorHAnsi" w:hAnsiTheme="minorHAnsi" w:eastAsiaTheme="minorEastAsia" w:cstheme="minorBidi"/>
              <w:sz w:val="22"/>
              <w14:ligatures w14:val="standardContextual"/>
            </w:rPr>
          </w:pPr>
          <w:r>
            <w:fldChar w:fldCharType="begin"/>
          </w:r>
          <w:r>
            <w:instrText xml:space="preserve"> HYPERLINK \l "_Toc208325544" </w:instrText>
          </w:r>
          <w:r>
            <w:fldChar w:fldCharType="separate"/>
          </w:r>
          <w:r>
            <w:rPr>
              <w:rStyle w:val="24"/>
              <w:rFonts w:hint="eastAsia" w:ascii="黑体" w:hAnsi="黑体" w:eastAsia="黑体" w:cs="宋体"/>
            </w:rPr>
            <w:t>第七章</w:t>
          </w:r>
          <w:r>
            <w:rPr>
              <w:rStyle w:val="24"/>
              <w:rFonts w:hint="eastAsia" w:ascii="Calibri" w:hAnsi="Calibri" w:eastAsia="黑体" w:cs="Calibri"/>
            </w:rPr>
            <w:t xml:space="preserve">  </w:t>
          </w:r>
          <w:r>
            <w:rPr>
              <w:rStyle w:val="24"/>
              <w:rFonts w:hint="eastAsia" w:ascii="黑体" w:hAnsi="黑体" w:eastAsia="黑体" w:cs="宋体"/>
            </w:rPr>
            <w:t>参选文件格式</w:t>
          </w:r>
          <w:r>
            <w:rPr>
              <w:rFonts w:hint="eastAsia"/>
            </w:rPr>
            <w:tab/>
          </w:r>
          <w:r>
            <w:rPr>
              <w:rFonts w:hint="eastAsia"/>
            </w:rPr>
            <w:fldChar w:fldCharType="begin"/>
          </w:r>
          <w:r>
            <w:rPr>
              <w:rFonts w:hint="eastAsia"/>
            </w:rPr>
            <w:instrText xml:space="preserve"> </w:instrText>
          </w:r>
          <w:r>
            <w:instrText xml:space="preserve">PAGEREF _Toc208325544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168E29C1">
          <w:pPr>
            <w:pStyle w:val="2"/>
            <w:spacing w:line="360" w:lineRule="auto"/>
            <w:rPr>
              <w:rFonts w:hint="eastAsia" w:ascii="宋体" w:hAnsi="宋体" w:cs="宋体"/>
              <w:szCs w:val="32"/>
            </w:rPr>
          </w:pPr>
          <w:r>
            <w:rPr>
              <w:rFonts w:hint="eastAsia" w:ascii="宋体" w:hAnsi="宋体" w:cs="宋体"/>
              <w:szCs w:val="32"/>
            </w:rPr>
            <w:fldChar w:fldCharType="end"/>
          </w:r>
        </w:p>
      </w:sdtContent>
    </w:sdt>
    <w:p w14:paraId="66E48F4D">
      <w:bookmarkStart w:id="2" w:name="_Toc28307"/>
      <w:bookmarkStart w:id="3" w:name="_Toc169117847"/>
    </w:p>
    <w:p w14:paraId="695A7408"/>
    <w:p w14:paraId="4E2248CC"/>
    <w:p w14:paraId="144F978C"/>
    <w:p w14:paraId="4C759CBE"/>
    <w:p w14:paraId="570AF86B"/>
    <w:p w14:paraId="5AE90114"/>
    <w:p w14:paraId="37DB3ECC"/>
    <w:p w14:paraId="7104EC7A">
      <w:pPr>
        <w:tabs>
          <w:tab w:val="left" w:pos="7317"/>
        </w:tabs>
        <w:rPr>
          <w:rFonts w:hint="eastAsia" w:ascii="黑体" w:hAnsi="黑体" w:eastAsia="黑体" w:cs="宋体"/>
          <w:sz w:val="28"/>
          <w:szCs w:val="28"/>
        </w:rPr>
      </w:pPr>
      <w:r>
        <w:rPr>
          <w:rFonts w:hint="eastAsia" w:ascii="黑体" w:hAnsi="黑体" w:eastAsia="黑体" w:cs="宋体"/>
          <w:sz w:val="28"/>
          <w:szCs w:val="28"/>
        </w:rPr>
        <w:tab/>
      </w:r>
    </w:p>
    <w:p w14:paraId="64F0F263">
      <w:pPr>
        <w:rPr>
          <w:rFonts w:hint="eastAsia" w:ascii="黑体" w:hAnsi="黑体" w:eastAsia="黑体" w:cs="宋体"/>
          <w:sz w:val="28"/>
          <w:szCs w:val="28"/>
        </w:rPr>
      </w:pPr>
    </w:p>
    <w:p w14:paraId="0FD801C5">
      <w:pPr>
        <w:sectPr>
          <w:headerReference r:id="rId3" w:type="default"/>
          <w:footerReference r:id="rId4" w:type="default"/>
          <w:pgSz w:w="11906" w:h="16838"/>
          <w:pgMar w:top="850" w:right="850" w:bottom="850" w:left="1134" w:header="567" w:footer="567" w:gutter="0"/>
          <w:cols w:space="425" w:num="1"/>
          <w:docGrid w:type="lines" w:linePitch="312" w:charSpace="0"/>
        </w:sectPr>
      </w:pPr>
    </w:p>
    <w:p w14:paraId="46D4CE6A">
      <w:pPr>
        <w:pStyle w:val="2"/>
        <w:spacing w:after="0"/>
        <w:jc w:val="center"/>
        <w:outlineLvl w:val="0"/>
        <w:rPr>
          <w:rFonts w:hint="eastAsia" w:ascii="黑体" w:hAnsi="黑体" w:eastAsia="黑体" w:cs="宋体"/>
          <w:sz w:val="28"/>
          <w:szCs w:val="28"/>
        </w:rPr>
      </w:pPr>
      <w:bookmarkStart w:id="4" w:name="_Toc208325520"/>
      <w:r>
        <w:rPr>
          <w:rFonts w:hint="eastAsia" w:ascii="黑体" w:hAnsi="黑体" w:eastAsia="黑体" w:cs="宋体"/>
          <w:sz w:val="28"/>
          <w:szCs w:val="28"/>
        </w:rPr>
        <w:t>第一章</w:t>
      </w:r>
      <w:bookmarkEnd w:id="2"/>
      <w:r>
        <w:rPr>
          <w:rFonts w:hint="eastAsia" w:ascii="Calibri" w:hAnsi="Calibri" w:eastAsia="黑体" w:cs="Calibri"/>
          <w:sz w:val="28"/>
          <w:szCs w:val="28"/>
        </w:rPr>
        <w:t xml:space="preserve">  </w:t>
      </w:r>
      <w:r>
        <w:rPr>
          <w:rFonts w:hint="eastAsia" w:ascii="黑体" w:hAnsi="黑体" w:eastAsia="黑体" w:cs="宋体"/>
          <w:sz w:val="28"/>
          <w:szCs w:val="28"/>
        </w:rPr>
        <w:t>询比公告</w:t>
      </w:r>
      <w:bookmarkEnd w:id="3"/>
      <w:bookmarkEnd w:id="4"/>
    </w:p>
    <w:p w14:paraId="6CFF9B09">
      <w:pPr>
        <w:spacing w:line="360" w:lineRule="auto"/>
        <w:ind w:firstLine="480" w:firstLineChars="200"/>
        <w:rPr>
          <w:rFonts w:hint="eastAsia" w:ascii="宋体" w:hAnsi="宋体" w:cs="宋体"/>
          <w:sz w:val="24"/>
          <w:u w:val="single"/>
        </w:rPr>
      </w:pPr>
      <w:r>
        <w:rPr>
          <w:rFonts w:hint="eastAsia" w:ascii="宋体" w:hAnsi="宋体" w:cs="宋体"/>
          <w:sz w:val="24"/>
          <w:u w:val="single"/>
        </w:rPr>
        <w:t>福建福化古雷石油化工有限公司就“福化古雷化工企业安全、工艺、设备管理体系评审技术服务项目（项目编号：CL-3100-202509000056）”，现已具备比选条件，在</w:t>
      </w:r>
      <w:r>
        <w:rPr>
          <w:rFonts w:ascii="宋体" w:hAnsi="宋体" w:cs="宋体"/>
          <w:sz w:val="24"/>
          <w:u w:val="single"/>
        </w:rPr>
        <w:t>国内进行公开</w:t>
      </w:r>
      <w:r>
        <w:rPr>
          <w:rFonts w:hint="eastAsia" w:ascii="宋体" w:hAnsi="宋体" w:cs="宋体"/>
          <w:sz w:val="24"/>
          <w:u w:val="single"/>
        </w:rPr>
        <w:t>询比</w:t>
      </w:r>
      <w:r>
        <w:rPr>
          <w:rFonts w:ascii="宋体" w:hAnsi="宋体" w:cs="宋体"/>
          <w:sz w:val="24"/>
          <w:u w:val="single"/>
        </w:rPr>
        <w:t>采购</w:t>
      </w:r>
      <w:r>
        <w:rPr>
          <w:rFonts w:hint="eastAsia" w:ascii="宋体" w:hAnsi="宋体" w:cs="宋体"/>
          <w:sz w:val="24"/>
          <w:u w:val="single"/>
        </w:rPr>
        <w:t>，欢迎国内符合条件的供应商积极参加。</w:t>
      </w:r>
    </w:p>
    <w:p w14:paraId="24EBA301">
      <w:pPr>
        <w:widowControl/>
        <w:tabs>
          <w:tab w:val="left" w:pos="900"/>
          <w:tab w:val="left" w:pos="1100"/>
        </w:tabs>
        <w:wordWrap w:val="0"/>
        <w:spacing w:line="360" w:lineRule="auto"/>
        <w:ind w:left="420" w:leftChars="200"/>
        <w:outlineLvl w:val="1"/>
        <w:rPr>
          <w:rFonts w:hint="eastAsia" w:ascii="宋体" w:hAnsi="宋体" w:cs="宋体"/>
          <w:b/>
          <w:sz w:val="24"/>
        </w:rPr>
      </w:pPr>
      <w:bookmarkStart w:id="5" w:name="_Toc208325521"/>
      <w:r>
        <w:rPr>
          <w:rFonts w:hint="eastAsia" w:ascii="宋体" w:hAnsi="宋体" w:cs="宋体"/>
          <w:b/>
          <w:sz w:val="24"/>
        </w:rPr>
        <w:t>一、项目概况</w:t>
      </w:r>
      <w:bookmarkEnd w:id="5"/>
    </w:p>
    <w:p w14:paraId="7ED92537">
      <w:pPr>
        <w:widowControl/>
        <w:wordWrap w:val="0"/>
        <w:spacing w:line="360" w:lineRule="auto"/>
        <w:ind w:firstLine="480" w:firstLineChars="200"/>
        <w:jc w:val="left"/>
        <w:rPr>
          <w:rFonts w:hint="eastAsia" w:ascii="宋体" w:hAnsi="宋体" w:cs="宋体"/>
          <w:bCs/>
          <w:sz w:val="24"/>
        </w:rPr>
      </w:pPr>
      <w:r>
        <w:rPr>
          <w:rFonts w:hint="eastAsia" w:ascii="宋体" w:hAnsi="宋体" w:cs="宋体"/>
          <w:sz w:val="24"/>
        </w:rPr>
        <w:t>1、项目名称：</w:t>
      </w:r>
      <w:r>
        <w:rPr>
          <w:rFonts w:hint="eastAsia" w:ascii="宋体" w:hAnsi="宋体" w:cs="宋体"/>
          <w:sz w:val="24"/>
          <w:u w:val="none"/>
        </w:rPr>
        <w:t>福化古雷化工企业安全、工艺、设备管理体系评审技术服务</w:t>
      </w:r>
      <w:r>
        <w:rPr>
          <w:rFonts w:hint="eastAsia" w:ascii="宋体" w:hAnsi="宋体" w:cs="宋体"/>
          <w:bCs/>
          <w:sz w:val="24"/>
        </w:rPr>
        <w:t>。</w:t>
      </w:r>
    </w:p>
    <w:p w14:paraId="6B75B699">
      <w:pPr>
        <w:spacing w:line="360" w:lineRule="auto"/>
        <w:ind w:firstLine="480" w:firstLineChars="200"/>
        <w:rPr>
          <w:rFonts w:hint="eastAsia" w:ascii="宋体" w:hAnsi="宋体" w:cs="宋体"/>
          <w:sz w:val="24"/>
        </w:rPr>
      </w:pPr>
      <w:r>
        <w:rPr>
          <w:rFonts w:hint="eastAsia" w:ascii="宋体" w:hAnsi="宋体" w:cs="宋体"/>
          <w:sz w:val="24"/>
        </w:rPr>
        <w:t>2、项目概况：为进一步规范福化古雷所管理企业安全、工艺、设备管理工作，排查管理体系中存在的漏洞与隐患，提升企业整体管理水平和风险防控能力，保障企业生产经营活动的安全、稳定、高效运行，现需对我司所管理的三家化工企业（福海创、海泉化学、福化鲁华）的安全、工艺、设备管理体系进行全面评审。评审服务内容包括：编制体系评审工作方案、制定评审细则表、组织专家</w:t>
      </w:r>
      <w:bookmarkStart w:id="6" w:name="_Hlk208237828"/>
      <w:r>
        <w:rPr>
          <w:rFonts w:hint="eastAsia" w:ascii="宋体" w:hAnsi="宋体" w:cs="宋体"/>
          <w:sz w:val="24"/>
        </w:rPr>
        <w:t>对福化古雷所管理的三家化工企业进行一次体系的符合性评价</w:t>
      </w:r>
      <w:bookmarkEnd w:id="6"/>
      <w:r>
        <w:rPr>
          <w:rFonts w:hint="eastAsia" w:ascii="宋体" w:hAnsi="宋体" w:cs="宋体"/>
          <w:sz w:val="24"/>
        </w:rPr>
        <w:t>、出具评审报告等服务。</w:t>
      </w:r>
      <w:r>
        <w:rPr>
          <w:rFonts w:hint="eastAsia" w:ascii="宋体" w:hAnsi="宋体" w:cs="宋体"/>
          <w:color w:val="000000"/>
          <w:sz w:val="24"/>
        </w:rPr>
        <w:t>具体要求详见</w:t>
      </w:r>
      <w:r>
        <w:rPr>
          <w:rFonts w:hint="eastAsia" w:ascii="宋体" w:hAnsi="宋体" w:cs="宋体"/>
          <w:color w:val="000000"/>
          <w:sz w:val="24"/>
          <w:lang w:val="en-US" w:eastAsia="zh-CN"/>
        </w:rPr>
        <w:t>第五章</w:t>
      </w:r>
      <w:r>
        <w:rPr>
          <w:rFonts w:hint="eastAsia" w:ascii="宋体" w:hAnsi="宋体" w:cs="宋体"/>
          <w:color w:val="000000"/>
          <w:sz w:val="24"/>
        </w:rPr>
        <w:t>比选内容及要求。</w:t>
      </w:r>
    </w:p>
    <w:p w14:paraId="1DEB0318">
      <w:pPr>
        <w:spacing w:line="360" w:lineRule="auto"/>
        <w:ind w:firstLine="480" w:firstLineChars="200"/>
        <w:rPr>
          <w:rFonts w:hint="eastAsia" w:ascii="宋体" w:hAnsi="宋体" w:cs="宋体"/>
          <w:sz w:val="24"/>
        </w:rPr>
      </w:pPr>
      <w:r>
        <w:rPr>
          <w:rFonts w:hint="eastAsia" w:ascii="宋体" w:hAnsi="宋体" w:cs="宋体"/>
          <w:sz w:val="24"/>
        </w:rPr>
        <w:t>3、服务质量要求：达到国家、行业及福建能化集团相关规范和要求。</w:t>
      </w:r>
    </w:p>
    <w:p w14:paraId="5BE27EC4">
      <w:pPr>
        <w:widowControl/>
        <w:tabs>
          <w:tab w:val="left" w:pos="900"/>
          <w:tab w:val="left" w:pos="1100"/>
        </w:tabs>
        <w:wordWrap w:val="0"/>
        <w:spacing w:line="360" w:lineRule="auto"/>
        <w:ind w:left="420" w:leftChars="200"/>
        <w:outlineLvl w:val="1"/>
        <w:rPr>
          <w:rFonts w:hint="eastAsia" w:ascii="宋体" w:hAnsi="宋体" w:cs="宋体"/>
          <w:b/>
          <w:sz w:val="24"/>
        </w:rPr>
      </w:pPr>
      <w:bookmarkStart w:id="7" w:name="_Toc208325522"/>
      <w:r>
        <w:rPr>
          <w:rFonts w:hint="eastAsia" w:ascii="宋体" w:hAnsi="宋体" w:cs="宋体"/>
          <w:b/>
          <w:sz w:val="24"/>
        </w:rPr>
        <w:t>二、参选人资格要求及审查办法</w:t>
      </w:r>
      <w:bookmarkEnd w:id="7"/>
    </w:p>
    <w:p w14:paraId="1B26173F">
      <w:pPr>
        <w:widowControl/>
        <w:wordWrap w:val="0"/>
        <w:spacing w:line="360" w:lineRule="auto"/>
        <w:ind w:firstLine="420" w:firstLineChars="175"/>
        <w:jc w:val="left"/>
        <w:rPr>
          <w:rFonts w:hint="eastAsia" w:ascii="宋体" w:hAnsi="宋体" w:cs="宋体"/>
          <w:sz w:val="24"/>
        </w:rPr>
      </w:pPr>
      <w:bookmarkStart w:id="8" w:name="OLE_LINK2"/>
      <w:r>
        <w:rPr>
          <w:rFonts w:hint="eastAsia" w:ascii="宋体" w:hAnsi="宋体" w:cs="宋体"/>
          <w:sz w:val="24"/>
        </w:rPr>
        <w:t>1、参选人须为合法注册并具有中国大陆独立法人资格的企业，且具有良好的财务状况和商业信誉，禁止列入“信用中国”受惩黑名单和失信被执行人企业法人参加比选；</w:t>
      </w:r>
    </w:p>
    <w:p w14:paraId="1F5690E6">
      <w:pPr>
        <w:widowControl/>
        <w:wordWrap w:val="0"/>
        <w:spacing w:line="360" w:lineRule="auto"/>
        <w:ind w:firstLine="480" w:firstLineChars="200"/>
        <w:jc w:val="left"/>
        <w:rPr>
          <w:rFonts w:hint="eastAsia" w:ascii="宋体" w:hAnsi="宋体" w:cs="宋体"/>
          <w:sz w:val="24"/>
        </w:rPr>
      </w:pPr>
      <w:r>
        <w:rPr>
          <w:rFonts w:hint="eastAsia" w:ascii="宋体" w:hAnsi="宋体" w:cs="宋体"/>
          <w:sz w:val="24"/>
        </w:rPr>
        <w:t>2、经营年限内与比选人及其权属企业无诉讼/仲裁纠纷，无偷税漏税行为、无税务欺诈行为及其他违法经营行为，参选人须提供信用中国网站查询结果截图、营业执照复印件并加盖公章。</w:t>
      </w:r>
    </w:p>
    <w:p w14:paraId="57018632">
      <w:pPr>
        <w:widowControl/>
        <w:wordWrap w:val="0"/>
        <w:spacing w:line="360" w:lineRule="auto"/>
        <w:ind w:firstLine="480" w:firstLineChars="200"/>
        <w:jc w:val="left"/>
        <w:rPr>
          <w:rFonts w:hint="eastAsia" w:ascii="宋体" w:hAnsi="宋体" w:cs="宋体"/>
          <w:sz w:val="24"/>
        </w:rPr>
      </w:pPr>
      <w:r>
        <w:rPr>
          <w:rFonts w:hint="eastAsia" w:ascii="宋体" w:hAnsi="宋体" w:cs="宋体"/>
          <w:sz w:val="24"/>
        </w:rPr>
        <w:t>3、参选代表应执有法定代表人的授权委托书（若为法定代表人直接参加可不需此件，但须提供法定代表人身份证复印件）。</w:t>
      </w:r>
    </w:p>
    <w:p w14:paraId="7086004E">
      <w:pPr>
        <w:widowControl/>
        <w:wordWrap w:val="0"/>
        <w:spacing w:line="360" w:lineRule="auto"/>
        <w:ind w:firstLine="480" w:firstLineChars="200"/>
        <w:jc w:val="left"/>
        <w:rPr>
          <w:rFonts w:hint="eastAsia" w:ascii="宋体" w:hAnsi="宋体" w:cs="宋体"/>
          <w:sz w:val="24"/>
        </w:rPr>
      </w:pPr>
      <w:r>
        <w:rPr>
          <w:rFonts w:hint="eastAsia" w:ascii="宋体" w:hAnsi="宋体" w:cs="宋体"/>
          <w:sz w:val="24"/>
        </w:rPr>
        <w:t>4、参选人需具备国家认证认可监督管理委员会核发的《认证机构批准书》，认证领域包含质量管理、环境管理、职业健康安全管理管理体系认证资质。</w:t>
      </w:r>
    </w:p>
    <w:p w14:paraId="5FC6AFDD">
      <w:pPr>
        <w:widowControl/>
        <w:wordWrap w:val="0"/>
        <w:spacing w:line="360" w:lineRule="auto"/>
        <w:ind w:firstLine="480" w:firstLineChars="200"/>
        <w:jc w:val="left"/>
        <w:rPr>
          <w:rFonts w:hint="eastAsia" w:ascii="宋体" w:hAnsi="宋体" w:cs="宋体"/>
          <w:sz w:val="24"/>
        </w:rPr>
      </w:pPr>
      <w:r>
        <w:rPr>
          <w:rFonts w:hint="eastAsia" w:ascii="宋体" w:hAnsi="宋体" w:cs="宋体"/>
          <w:sz w:val="24"/>
        </w:rPr>
        <w:t>5、参选人需具备有效的中国国家认证认可监督管理委员会颁发的质量管理体系、环境、职业健康安全管理体系认证认可资格证书。</w:t>
      </w:r>
    </w:p>
    <w:p w14:paraId="6455911E">
      <w:pPr>
        <w:widowControl/>
        <w:wordWrap w:val="0"/>
        <w:spacing w:line="360" w:lineRule="auto"/>
        <w:ind w:firstLine="480" w:firstLineChars="200"/>
        <w:jc w:val="left"/>
        <w:rPr>
          <w:rFonts w:hint="eastAsia" w:ascii="宋体" w:hAnsi="宋体" w:cs="宋体"/>
          <w:sz w:val="24"/>
        </w:rPr>
      </w:pPr>
      <w:r>
        <w:rPr>
          <w:rFonts w:hint="eastAsia" w:ascii="宋体" w:hAnsi="宋体" w:cs="宋体"/>
          <w:sz w:val="24"/>
        </w:rPr>
        <w:t>6、参选人需提供上述相关资料证明。参选人提供的证明材料若为复印件，则复印件均须加盖公章，在中选后进行原件核对。如参选人提供资料证明与事实不符的，需承担相应的经济及法律责任，并取消参选或中选资格。</w:t>
      </w:r>
    </w:p>
    <w:p w14:paraId="41AD11F3">
      <w:pPr>
        <w:widowControl/>
        <w:wordWrap w:val="0"/>
        <w:spacing w:line="360" w:lineRule="auto"/>
        <w:ind w:firstLine="480" w:firstLineChars="200"/>
        <w:jc w:val="left"/>
        <w:rPr>
          <w:rFonts w:hint="eastAsia" w:ascii="宋体" w:hAnsi="宋体" w:cs="宋体"/>
          <w:sz w:val="24"/>
        </w:rPr>
      </w:pPr>
      <w:r>
        <w:rPr>
          <w:rFonts w:hint="eastAsia" w:ascii="宋体" w:hAnsi="宋体" w:cs="宋体"/>
          <w:sz w:val="24"/>
        </w:rPr>
        <w:t>7、近3年内具备至少1个化工企业质量、环境、职业健康管理体系和安全标准化等级评价的相关业绩（附业绩合同或证明材料）；</w:t>
      </w:r>
    </w:p>
    <w:p w14:paraId="27968041">
      <w:pPr>
        <w:widowControl/>
        <w:wordWrap w:val="0"/>
        <w:spacing w:line="360" w:lineRule="auto"/>
        <w:ind w:firstLine="480" w:firstLineChars="200"/>
        <w:jc w:val="left"/>
        <w:rPr>
          <w:rFonts w:hint="eastAsia" w:ascii="宋体" w:hAnsi="宋体" w:cs="宋体"/>
          <w:sz w:val="24"/>
        </w:rPr>
      </w:pPr>
      <w:r>
        <w:rPr>
          <w:rFonts w:hint="eastAsia" w:ascii="宋体" w:hAnsi="宋体" w:cs="宋体"/>
          <w:sz w:val="24"/>
        </w:rPr>
        <w:t>8、参选人一旦申请参加，就视为对本公告内容无异议。</w:t>
      </w:r>
    </w:p>
    <w:p w14:paraId="53C30372">
      <w:pPr>
        <w:widowControl/>
        <w:wordWrap w:val="0"/>
        <w:spacing w:line="360" w:lineRule="auto"/>
        <w:ind w:firstLine="480" w:firstLineChars="200"/>
        <w:jc w:val="left"/>
        <w:rPr>
          <w:rFonts w:hint="eastAsia" w:ascii="宋体" w:hAnsi="宋体" w:cs="宋体"/>
          <w:sz w:val="24"/>
        </w:rPr>
      </w:pPr>
      <w:r>
        <w:rPr>
          <w:rFonts w:hint="eastAsia" w:ascii="宋体" w:hAnsi="宋体" w:cs="宋体"/>
          <w:sz w:val="24"/>
        </w:rPr>
        <w:t>9、本项目不接受联合体投标。</w:t>
      </w:r>
    </w:p>
    <w:bookmarkEnd w:id="8"/>
    <w:p w14:paraId="7B681157">
      <w:pPr>
        <w:widowControl/>
        <w:tabs>
          <w:tab w:val="left" w:pos="900"/>
          <w:tab w:val="left" w:pos="1100"/>
        </w:tabs>
        <w:wordWrap w:val="0"/>
        <w:spacing w:line="360" w:lineRule="auto"/>
        <w:ind w:left="420" w:leftChars="200"/>
        <w:outlineLvl w:val="1"/>
        <w:rPr>
          <w:rFonts w:hint="eastAsia" w:ascii="宋体" w:hAnsi="宋体" w:cs="宋体"/>
          <w:b/>
          <w:sz w:val="24"/>
        </w:rPr>
      </w:pPr>
      <w:bookmarkStart w:id="9" w:name="_Toc208325523"/>
      <w:r>
        <w:rPr>
          <w:rFonts w:hint="eastAsia" w:ascii="宋体" w:hAnsi="宋体" w:cs="宋体"/>
          <w:b/>
          <w:sz w:val="24"/>
        </w:rPr>
        <w:t>三、评选办法</w:t>
      </w:r>
      <w:bookmarkEnd w:id="9"/>
    </w:p>
    <w:p w14:paraId="626E2A25">
      <w:pPr>
        <w:widowControl/>
        <w:wordWrap w:val="0"/>
        <w:spacing w:line="360" w:lineRule="auto"/>
        <w:ind w:firstLine="480" w:firstLineChars="200"/>
        <w:jc w:val="left"/>
        <w:rPr>
          <w:rFonts w:hint="eastAsia" w:ascii="宋体" w:hAnsi="宋体" w:cs="宋体"/>
          <w:sz w:val="24"/>
        </w:rPr>
      </w:pPr>
      <w:r>
        <w:rPr>
          <w:rFonts w:hint="eastAsia" w:ascii="宋体" w:hAnsi="宋体" w:cs="宋体"/>
          <w:sz w:val="24"/>
        </w:rPr>
        <w:t>本项目设置最高控制价2</w:t>
      </w:r>
      <w:r>
        <w:rPr>
          <w:rFonts w:ascii="宋体" w:hAnsi="宋体" w:cs="宋体"/>
          <w:sz w:val="24"/>
        </w:rPr>
        <w:t>0</w:t>
      </w:r>
      <w:r>
        <w:rPr>
          <w:rFonts w:hint="eastAsia" w:ascii="宋体" w:hAnsi="宋体" w:cs="宋体"/>
          <w:sz w:val="24"/>
        </w:rPr>
        <w:t>万元整（含税）。参选人所填报的报价高于本项目最高限价的，其参选将被比选小组予以否决。采用综合</w:t>
      </w:r>
      <w:r>
        <w:rPr>
          <w:rFonts w:hint="eastAsia" w:ascii="宋体" w:hAnsi="宋体" w:cs="宋体"/>
          <w:sz w:val="24"/>
          <w:lang w:val="en-US" w:eastAsia="zh-CN"/>
        </w:rPr>
        <w:t>评分</w:t>
      </w:r>
      <w:r>
        <w:rPr>
          <w:rFonts w:hint="eastAsia" w:ascii="宋体" w:hAnsi="宋体" w:cs="宋体"/>
          <w:sz w:val="24"/>
        </w:rPr>
        <w:t>法进行评比，商务报价分值占比50%，技术分值占比35</w:t>
      </w:r>
      <w:r>
        <w:rPr>
          <w:rFonts w:ascii="宋体" w:hAnsi="宋体" w:cs="宋体"/>
          <w:sz w:val="24"/>
        </w:rPr>
        <w:t>%</w:t>
      </w:r>
      <w:r>
        <w:rPr>
          <w:rFonts w:hint="eastAsia" w:ascii="宋体" w:hAnsi="宋体" w:cs="宋体"/>
          <w:sz w:val="24"/>
        </w:rPr>
        <w:t>，商务分值占比15%，综合得分最高者作为中选单位。</w:t>
      </w:r>
    </w:p>
    <w:p w14:paraId="3753AAE1">
      <w:pPr>
        <w:widowControl/>
        <w:tabs>
          <w:tab w:val="left" w:pos="900"/>
          <w:tab w:val="left" w:pos="1100"/>
        </w:tabs>
        <w:wordWrap w:val="0"/>
        <w:spacing w:line="360" w:lineRule="auto"/>
        <w:ind w:left="420" w:leftChars="200"/>
        <w:outlineLvl w:val="1"/>
        <w:rPr>
          <w:rFonts w:hint="eastAsia" w:ascii="宋体" w:hAnsi="宋体" w:cs="宋体"/>
          <w:b/>
          <w:sz w:val="24"/>
        </w:rPr>
      </w:pPr>
      <w:bookmarkStart w:id="10" w:name="_Toc208325524"/>
      <w:r>
        <w:rPr>
          <w:rFonts w:hint="eastAsia" w:ascii="宋体" w:hAnsi="宋体" w:cs="宋体"/>
          <w:b/>
          <w:sz w:val="24"/>
        </w:rPr>
        <w:t>四、</w:t>
      </w:r>
      <w:r>
        <w:rPr>
          <w:rFonts w:hint="eastAsia" w:ascii="宋体" w:hAnsi="宋体" w:cs="宋体"/>
          <w:b/>
          <w:sz w:val="24"/>
          <w:lang w:val="en-US" w:eastAsia="zh-CN"/>
        </w:rPr>
        <w:t>采购</w:t>
      </w:r>
      <w:r>
        <w:rPr>
          <w:rFonts w:hint="eastAsia" w:ascii="宋体" w:hAnsi="宋体" w:cs="宋体"/>
          <w:b/>
          <w:sz w:val="24"/>
        </w:rPr>
        <w:t>文件的获取</w:t>
      </w:r>
      <w:bookmarkEnd w:id="10"/>
    </w:p>
    <w:p w14:paraId="1FCF409F">
      <w:pPr>
        <w:spacing w:line="360" w:lineRule="auto"/>
        <w:ind w:firstLine="480" w:firstLineChars="200"/>
        <w:rPr>
          <w:rFonts w:hint="eastAsia" w:ascii="宋体" w:hAnsi="宋体" w:eastAsia="宋体" w:cs="宋体"/>
          <w:bCs/>
          <w:sz w:val="24"/>
          <w:lang w:eastAsia="zh-CN"/>
        </w:rPr>
      </w:pPr>
      <w:r>
        <w:rPr>
          <w:rFonts w:hint="eastAsia" w:ascii="宋体" w:hAnsi="宋体" w:cs="宋体"/>
          <w:bCs/>
          <w:sz w:val="24"/>
        </w:rPr>
        <w:t>1、</w:t>
      </w:r>
      <w:bookmarkStart w:id="11" w:name="_Hlk196395766"/>
      <w:r>
        <w:rPr>
          <w:rFonts w:hint="eastAsia" w:ascii="宋体" w:hAnsi="宋体" w:cs="宋体"/>
          <w:bCs/>
          <w:sz w:val="24"/>
          <w:lang w:val="en-US" w:eastAsia="zh-CN"/>
        </w:rPr>
        <w:t>采购</w:t>
      </w:r>
      <w:r>
        <w:rPr>
          <w:rFonts w:hint="eastAsia" w:cs="宋体"/>
          <w:bCs/>
          <w:sz w:val="24"/>
        </w:rPr>
        <w:t>文件获取</w:t>
      </w:r>
      <w:r>
        <w:rPr>
          <w:rFonts w:hint="eastAsia" w:ascii="宋体" w:hAnsi="宋体" w:cs="宋体"/>
          <w:bCs/>
          <w:sz w:val="24"/>
        </w:rPr>
        <w:t>时间：</w:t>
      </w:r>
      <w:bookmarkEnd w:id="11"/>
      <w:r>
        <w:rPr>
          <w:rFonts w:hint="eastAsia" w:ascii="宋体" w:hAnsi="宋体" w:cs="宋体"/>
          <w:sz w:val="24"/>
        </w:rPr>
        <w:t>公示之日起至</w:t>
      </w:r>
      <w:r>
        <w:rPr>
          <w:rFonts w:hint="eastAsia" w:ascii="宋体" w:hAnsi="宋体" w:cs="宋体"/>
          <w:color w:val="FF0000"/>
          <w:sz w:val="24"/>
        </w:rPr>
        <w:t>2025年</w:t>
      </w:r>
      <w:r>
        <w:rPr>
          <w:rFonts w:hint="eastAsia" w:ascii="宋体" w:hAnsi="宋体" w:cs="宋体"/>
          <w:color w:val="FF0000"/>
          <w:sz w:val="24"/>
          <w:lang w:val="en-US" w:eastAsia="zh-CN"/>
        </w:rPr>
        <w:t>10</w:t>
      </w:r>
      <w:r>
        <w:rPr>
          <w:rFonts w:hint="eastAsia" w:ascii="宋体" w:hAnsi="宋体" w:cs="宋体"/>
          <w:color w:val="FF0000"/>
          <w:sz w:val="24"/>
        </w:rPr>
        <w:t>月</w:t>
      </w:r>
      <w:r>
        <w:rPr>
          <w:rFonts w:hint="eastAsia" w:ascii="宋体" w:hAnsi="宋体" w:cs="宋体"/>
          <w:color w:val="FF0000"/>
          <w:sz w:val="24"/>
          <w:lang w:val="en-US" w:eastAsia="zh-CN"/>
        </w:rPr>
        <w:t>13</w:t>
      </w:r>
      <w:r>
        <w:rPr>
          <w:rFonts w:hint="eastAsia" w:ascii="宋体" w:hAnsi="宋体" w:cs="宋体"/>
          <w:color w:val="FF0000"/>
          <w:sz w:val="24"/>
        </w:rPr>
        <w:t>日</w:t>
      </w:r>
      <w:r>
        <w:rPr>
          <w:rFonts w:hint="eastAsia" w:ascii="宋体" w:hAnsi="宋体" w:cs="宋体"/>
          <w:sz w:val="24"/>
        </w:rPr>
        <w:t>（共</w:t>
      </w:r>
      <w:r>
        <w:rPr>
          <w:rFonts w:hint="eastAsia" w:ascii="宋体" w:hAnsi="宋体" w:cs="宋体"/>
          <w:color w:val="auto"/>
          <w:sz w:val="24"/>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5</w:t>
      </w:r>
      <w:r>
        <w:rPr>
          <w:rFonts w:hint="eastAsia" w:ascii="宋体" w:hAnsi="宋体" w:cs="宋体"/>
          <w:sz w:val="24"/>
        </w:rPr>
        <w:t>天）</w:t>
      </w:r>
      <w:r>
        <w:rPr>
          <w:rFonts w:hint="eastAsia" w:ascii="宋体" w:hAnsi="宋体" w:cs="宋体"/>
          <w:sz w:val="24"/>
          <w:lang w:eastAsia="zh-CN"/>
        </w:rPr>
        <w:t>。</w:t>
      </w:r>
      <w:bookmarkStart w:id="83" w:name="_GoBack"/>
      <w:bookmarkEnd w:id="83"/>
    </w:p>
    <w:p w14:paraId="6CEEE728">
      <w:pPr>
        <w:spacing w:line="360" w:lineRule="auto"/>
        <w:ind w:firstLine="480" w:firstLineChars="200"/>
        <w:rPr>
          <w:rFonts w:cs="宋体"/>
          <w:bCs/>
          <w:sz w:val="24"/>
        </w:rPr>
      </w:pPr>
      <w:r>
        <w:rPr>
          <w:rFonts w:hint="eastAsia" w:cs="宋体"/>
          <w:bCs/>
          <w:sz w:val="24"/>
        </w:rPr>
        <w:t>2、</w:t>
      </w:r>
      <w:r>
        <w:rPr>
          <w:rFonts w:hint="eastAsia" w:cs="宋体"/>
          <w:bCs/>
          <w:sz w:val="24"/>
          <w:lang w:val="en-US" w:eastAsia="zh-CN"/>
        </w:rPr>
        <w:t>采购</w:t>
      </w:r>
      <w:r>
        <w:rPr>
          <w:rFonts w:hint="eastAsia" w:cs="宋体"/>
          <w:bCs/>
          <w:sz w:val="24"/>
        </w:rPr>
        <w:t>文件</w:t>
      </w:r>
      <w:r>
        <w:rPr>
          <w:rFonts w:hint="eastAsia" w:cs="宋体"/>
          <w:bCs/>
          <w:sz w:val="24"/>
          <w:lang w:eastAsia="zh-CN"/>
        </w:rPr>
        <w:t>的</w:t>
      </w:r>
      <w:r>
        <w:rPr>
          <w:rFonts w:hint="eastAsia" w:cs="宋体"/>
          <w:bCs/>
          <w:sz w:val="24"/>
          <w:lang w:val="en-US" w:eastAsia="zh-CN"/>
        </w:rPr>
        <w:t>获取</w:t>
      </w:r>
      <w:r>
        <w:rPr>
          <w:rFonts w:hint="eastAsia" w:cs="宋体"/>
          <w:bCs/>
          <w:sz w:val="24"/>
        </w:rPr>
        <w:t>：参比人</w:t>
      </w:r>
      <w:r>
        <w:rPr>
          <w:rFonts w:hint="eastAsia" w:cs="宋体"/>
          <w:bCs/>
          <w:sz w:val="24"/>
          <w:lang w:val="en-US" w:eastAsia="zh-CN"/>
        </w:rPr>
        <w:t>在</w:t>
      </w:r>
      <w:r>
        <w:rPr>
          <w:rFonts w:hint="eastAsia" w:cs="宋体"/>
          <w:bCs/>
          <w:sz w:val="24"/>
        </w:rPr>
        <w:t>福建能源石化集团阳光采购平台、福建福化古雷石油化工有限公司官网自行下载，不收取费用。</w:t>
      </w:r>
    </w:p>
    <w:p w14:paraId="2426C9BE">
      <w:pPr>
        <w:widowControl/>
        <w:tabs>
          <w:tab w:val="left" w:pos="900"/>
          <w:tab w:val="left" w:pos="1100"/>
        </w:tabs>
        <w:wordWrap w:val="0"/>
        <w:spacing w:line="360" w:lineRule="auto"/>
        <w:ind w:left="420" w:leftChars="200"/>
        <w:outlineLvl w:val="1"/>
        <w:rPr>
          <w:rFonts w:hint="eastAsia" w:ascii="宋体" w:hAnsi="宋体" w:cs="宋体"/>
          <w:b/>
          <w:sz w:val="24"/>
        </w:rPr>
      </w:pPr>
      <w:bookmarkStart w:id="12" w:name="_Toc23284"/>
      <w:bookmarkStart w:id="13" w:name="_Toc208325525"/>
      <w:r>
        <w:rPr>
          <w:rFonts w:hint="eastAsia" w:ascii="宋体" w:hAnsi="宋体" w:cs="宋体"/>
          <w:b/>
          <w:sz w:val="24"/>
        </w:rPr>
        <w:t>五、</w:t>
      </w:r>
      <w:bookmarkStart w:id="14" w:name="_Hlk207106683"/>
      <w:r>
        <w:rPr>
          <w:rFonts w:hint="eastAsia" w:ascii="宋体" w:hAnsi="宋体" w:cs="宋体"/>
          <w:b/>
          <w:sz w:val="24"/>
        </w:rPr>
        <w:t>参选文件递交要求</w:t>
      </w:r>
      <w:bookmarkEnd w:id="12"/>
      <w:bookmarkEnd w:id="14"/>
      <w:r>
        <w:rPr>
          <w:rFonts w:hint="eastAsia" w:ascii="宋体" w:hAnsi="宋体" w:cs="宋体"/>
          <w:b/>
          <w:sz w:val="24"/>
        </w:rPr>
        <w:t>时间、地点</w:t>
      </w:r>
      <w:bookmarkEnd w:id="13"/>
    </w:p>
    <w:p w14:paraId="7F163A30">
      <w:pPr>
        <w:spacing w:line="420" w:lineRule="atLeast"/>
        <w:ind w:firstLine="480" w:firstLineChars="200"/>
        <w:rPr>
          <w:rFonts w:hint="eastAsia" w:asciiTheme="majorEastAsia" w:hAnsiTheme="majorEastAsia" w:eastAsiaTheme="majorEastAsia"/>
          <w:sz w:val="24"/>
        </w:rPr>
      </w:pPr>
      <w:r>
        <w:rPr>
          <w:rFonts w:hint="eastAsia" w:ascii="宋体" w:hAnsi="宋体" w:cs="宋体"/>
          <w:bCs/>
          <w:sz w:val="24"/>
        </w:rPr>
        <w:t>1、参选文件递交地点</w:t>
      </w:r>
      <w:r>
        <w:rPr>
          <w:rFonts w:hint="eastAsia" w:cs="宋体"/>
          <w:bCs/>
          <w:sz w:val="24"/>
        </w:rPr>
        <w:t>：福建省漳州市漳浦县杜浔镇杜昌路9号福建福化古雷石油化工有限公司办公楼二楼，联系人：汪女士。</w:t>
      </w:r>
    </w:p>
    <w:p w14:paraId="12C33E2C">
      <w:pPr>
        <w:pStyle w:val="25"/>
        <w:spacing w:line="360" w:lineRule="auto"/>
        <w:ind w:firstLine="480"/>
        <w:rPr>
          <w:rFonts w:hint="eastAsia" w:ascii="宋体" w:hAnsi="宋体" w:cs="宋体"/>
        </w:rPr>
      </w:pPr>
      <w:r>
        <w:rPr>
          <w:rFonts w:hint="eastAsia" w:ascii="宋体" w:hAnsi="宋体" w:cs="宋体"/>
          <w:bCs/>
          <w:sz w:val="24"/>
        </w:rPr>
        <w:t>2、</w:t>
      </w:r>
      <w:bookmarkStart w:id="15" w:name="_Hlk207106723"/>
      <w:r>
        <w:rPr>
          <w:rFonts w:hint="eastAsia" w:asciiTheme="majorEastAsia" w:hAnsiTheme="majorEastAsia" w:eastAsiaTheme="majorEastAsia"/>
          <w:sz w:val="24"/>
          <w:szCs w:val="24"/>
        </w:rPr>
        <w:t>参选文件递交截止时间（以送达时间为准）：</w:t>
      </w:r>
      <w:r>
        <w:rPr>
          <w:rFonts w:hint="eastAsia" w:asciiTheme="majorEastAsia" w:hAnsiTheme="majorEastAsia" w:eastAsiaTheme="majorEastAsia"/>
          <w:color w:val="FF0000"/>
          <w:sz w:val="24"/>
          <w:szCs w:val="24"/>
        </w:rPr>
        <w:t>2</w:t>
      </w:r>
      <w:r>
        <w:rPr>
          <w:rFonts w:asciiTheme="majorEastAsia" w:hAnsiTheme="majorEastAsia" w:eastAsiaTheme="majorEastAsia"/>
          <w:color w:val="FF0000"/>
          <w:sz w:val="24"/>
          <w:szCs w:val="24"/>
        </w:rPr>
        <w:t>02</w:t>
      </w:r>
      <w:r>
        <w:rPr>
          <w:rFonts w:hint="eastAsia" w:asciiTheme="majorEastAsia" w:hAnsiTheme="majorEastAsia" w:eastAsiaTheme="majorEastAsia"/>
          <w:color w:val="FF0000"/>
          <w:sz w:val="24"/>
          <w:szCs w:val="24"/>
        </w:rPr>
        <w:t>5</w:t>
      </w:r>
      <w:r>
        <w:rPr>
          <w:rFonts w:asciiTheme="majorEastAsia" w:hAnsiTheme="majorEastAsia" w:eastAsiaTheme="majorEastAsia"/>
          <w:color w:val="FF0000"/>
          <w:sz w:val="24"/>
          <w:szCs w:val="24"/>
        </w:rPr>
        <w:t>年</w:t>
      </w:r>
      <w:r>
        <w:rPr>
          <w:rFonts w:hint="eastAsia" w:asciiTheme="majorEastAsia" w:hAnsiTheme="majorEastAsia" w:eastAsiaTheme="majorEastAsia"/>
          <w:color w:val="FF0000"/>
          <w:sz w:val="24"/>
          <w:szCs w:val="24"/>
          <w:lang w:val="en-US" w:eastAsia="zh-CN"/>
        </w:rPr>
        <w:t>10</w:t>
      </w:r>
      <w:r>
        <w:rPr>
          <w:rFonts w:hint="eastAsia" w:asciiTheme="majorEastAsia" w:hAnsiTheme="majorEastAsia" w:eastAsiaTheme="majorEastAsia"/>
          <w:color w:val="FF0000"/>
          <w:sz w:val="24"/>
          <w:szCs w:val="24"/>
        </w:rPr>
        <w:t>月</w:t>
      </w:r>
      <w:r>
        <w:rPr>
          <w:rFonts w:hint="eastAsia" w:asciiTheme="majorEastAsia" w:hAnsiTheme="majorEastAsia" w:eastAsiaTheme="majorEastAsia"/>
          <w:color w:val="FF0000"/>
          <w:sz w:val="24"/>
          <w:szCs w:val="24"/>
          <w:lang w:val="en-US" w:eastAsia="zh-CN"/>
        </w:rPr>
        <w:t>13</w:t>
      </w:r>
      <w:r>
        <w:rPr>
          <w:rFonts w:hint="eastAsia" w:asciiTheme="majorEastAsia" w:hAnsiTheme="majorEastAsia" w:eastAsiaTheme="majorEastAsia"/>
          <w:color w:val="FF0000"/>
          <w:sz w:val="24"/>
          <w:szCs w:val="24"/>
        </w:rPr>
        <w:t>日</w:t>
      </w:r>
      <w:r>
        <w:rPr>
          <w:rFonts w:hint="eastAsia" w:asciiTheme="majorEastAsia" w:hAnsiTheme="majorEastAsia" w:eastAsiaTheme="majorEastAsia"/>
          <w:color w:val="FF0000"/>
          <w:sz w:val="24"/>
          <w:szCs w:val="24"/>
          <w:lang w:val="en-US" w:eastAsia="zh-CN"/>
        </w:rPr>
        <w:t>12</w:t>
      </w:r>
      <w:r>
        <w:rPr>
          <w:rFonts w:hint="eastAsia" w:asciiTheme="majorEastAsia" w:hAnsiTheme="majorEastAsia" w:eastAsiaTheme="majorEastAsia"/>
          <w:color w:val="FF0000"/>
          <w:sz w:val="24"/>
          <w:szCs w:val="24"/>
        </w:rPr>
        <w:t>时</w:t>
      </w:r>
      <w:r>
        <w:rPr>
          <w:rFonts w:hint="eastAsia" w:asciiTheme="majorEastAsia" w:hAnsiTheme="majorEastAsia" w:eastAsiaTheme="majorEastAsia"/>
          <w:color w:val="FF0000"/>
          <w:sz w:val="24"/>
          <w:szCs w:val="24"/>
          <w:lang w:val="en-US" w:eastAsia="zh-CN"/>
        </w:rPr>
        <w:t>00</w:t>
      </w:r>
      <w:r>
        <w:rPr>
          <w:rFonts w:hint="eastAsia" w:asciiTheme="majorEastAsia" w:hAnsiTheme="majorEastAsia" w:eastAsiaTheme="majorEastAsia"/>
          <w:color w:val="FF0000"/>
          <w:sz w:val="24"/>
          <w:szCs w:val="24"/>
        </w:rPr>
        <w:t>分</w:t>
      </w:r>
      <w:r>
        <w:rPr>
          <w:rFonts w:hint="eastAsia" w:asciiTheme="majorEastAsia" w:hAnsiTheme="majorEastAsia" w:eastAsiaTheme="majorEastAsia"/>
          <w:sz w:val="24"/>
          <w:szCs w:val="24"/>
        </w:rPr>
        <w:t>之前将参选文件纸质原件密封送达比选人指定地点。</w:t>
      </w:r>
      <w:bookmarkEnd w:id="15"/>
    </w:p>
    <w:p w14:paraId="6734E5D7">
      <w:pPr>
        <w:widowControl/>
        <w:tabs>
          <w:tab w:val="left" w:pos="900"/>
          <w:tab w:val="left" w:pos="1100"/>
        </w:tabs>
        <w:wordWrap w:val="0"/>
        <w:spacing w:line="360" w:lineRule="auto"/>
        <w:ind w:left="420" w:leftChars="200"/>
        <w:outlineLvl w:val="1"/>
        <w:rPr>
          <w:rFonts w:hint="eastAsia" w:ascii="宋体" w:hAnsi="宋体" w:cs="宋体"/>
          <w:b/>
          <w:sz w:val="24"/>
        </w:rPr>
      </w:pPr>
      <w:bookmarkStart w:id="16" w:name="_Toc8296"/>
      <w:bookmarkStart w:id="17" w:name="_Toc208325526"/>
      <w:r>
        <w:rPr>
          <w:rFonts w:hint="eastAsia" w:ascii="宋体" w:hAnsi="宋体" w:cs="宋体"/>
          <w:b/>
          <w:sz w:val="24"/>
        </w:rPr>
        <w:t>六、联系方式</w:t>
      </w:r>
      <w:bookmarkEnd w:id="16"/>
      <w:bookmarkEnd w:id="17"/>
    </w:p>
    <w:p w14:paraId="73624A5C">
      <w:pPr>
        <w:pStyle w:val="7"/>
        <w:adjustRightInd/>
        <w:spacing w:line="360" w:lineRule="auto"/>
        <w:ind w:firstLine="480" w:firstLineChars="200"/>
        <w:rPr>
          <w:rFonts w:hint="eastAsia" w:ascii="宋体" w:hAnsi="宋体" w:cs="宋体"/>
          <w:color w:val="000000"/>
          <w:kern w:val="0"/>
          <w:sz w:val="24"/>
          <w:szCs w:val="24"/>
        </w:rPr>
      </w:pPr>
      <w:bookmarkStart w:id="18" w:name="_Hlk207106911"/>
      <w:r>
        <w:rPr>
          <w:rFonts w:hint="eastAsia" w:ascii="宋体" w:hAnsi="宋体" w:cs="宋体"/>
          <w:color w:val="000000"/>
          <w:kern w:val="0"/>
          <w:sz w:val="24"/>
          <w:szCs w:val="24"/>
        </w:rPr>
        <w:t>商务联系人：汪女士    电话：18659989800</w:t>
      </w:r>
    </w:p>
    <w:p w14:paraId="1CCBA2C9">
      <w:pPr>
        <w:pStyle w:val="7"/>
        <w:adjustRightInd/>
        <w:spacing w:line="360" w:lineRule="auto"/>
        <w:ind w:firstLine="480" w:firstLineChars="200"/>
        <w:rPr>
          <w:rFonts w:hint="eastAsia" w:ascii="宋体" w:hAnsi="宋体" w:cs="宋体"/>
          <w:color w:val="000000"/>
          <w:kern w:val="0"/>
          <w:sz w:val="24"/>
          <w:szCs w:val="24"/>
        </w:rPr>
      </w:pPr>
      <w:bookmarkStart w:id="19" w:name="_Hlk196396271"/>
      <w:r>
        <w:rPr>
          <w:rFonts w:hint="eastAsia" w:ascii="宋体" w:hAnsi="宋体" w:cs="宋体"/>
          <w:color w:val="000000"/>
          <w:kern w:val="0"/>
          <w:sz w:val="24"/>
          <w:szCs w:val="24"/>
        </w:rPr>
        <w:t>技术联系人：蔡先生    电话：15260011440</w:t>
      </w:r>
    </w:p>
    <w:bookmarkEnd w:id="19"/>
    <w:p w14:paraId="4B30BA22">
      <w:pPr>
        <w:pStyle w:val="7"/>
        <w:adjustRightInd/>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纪检监察室电话：0596-6085750</w:t>
      </w:r>
    </w:p>
    <w:bookmarkEnd w:id="18"/>
    <w:p w14:paraId="27617E46">
      <w:pPr>
        <w:pStyle w:val="7"/>
        <w:adjustRightInd/>
        <w:spacing w:line="360" w:lineRule="auto"/>
        <w:ind w:firstLine="480" w:firstLineChars="200"/>
        <w:rPr>
          <w:rFonts w:hint="eastAsia" w:ascii="宋体" w:hAnsi="宋体" w:cs="宋体"/>
          <w:color w:val="000000"/>
          <w:kern w:val="0"/>
          <w:sz w:val="24"/>
          <w:szCs w:val="24"/>
        </w:rPr>
      </w:pPr>
      <w:bookmarkStart w:id="20" w:name="_Hlk207107142"/>
      <w:r>
        <w:rPr>
          <w:rFonts w:hint="eastAsia" w:ascii="宋体" w:hAnsi="宋体" w:cs="宋体"/>
          <w:color w:val="000000"/>
          <w:kern w:val="0"/>
          <w:sz w:val="24"/>
          <w:szCs w:val="24"/>
        </w:rPr>
        <w:t>联系地址：福建省漳州市漳浦县杜浔镇杜昌路9号</w:t>
      </w:r>
    </w:p>
    <w:bookmarkEnd w:id="20"/>
    <w:p w14:paraId="623607B0">
      <w:pPr>
        <w:rPr>
          <w:rFonts w:hint="eastAsia" w:ascii="宋体" w:hAnsi="宋体" w:cs="宋体"/>
          <w:color w:val="000000"/>
          <w:kern w:val="0"/>
          <w:sz w:val="24"/>
        </w:rPr>
      </w:pPr>
      <w:r>
        <w:rPr>
          <w:rFonts w:hint="eastAsia" w:ascii="宋体" w:hAnsi="宋体" w:cs="宋体"/>
          <w:color w:val="000000"/>
          <w:kern w:val="0"/>
          <w:sz w:val="24"/>
        </w:rPr>
        <w:br w:type="page"/>
      </w:r>
    </w:p>
    <w:p w14:paraId="4DD1D6FC">
      <w:pPr>
        <w:pStyle w:val="2"/>
        <w:spacing w:after="0"/>
        <w:jc w:val="center"/>
        <w:outlineLvl w:val="0"/>
        <w:rPr>
          <w:rFonts w:hint="eastAsia" w:ascii="黑体" w:hAnsi="黑体" w:eastAsia="黑体" w:cs="宋体"/>
          <w:sz w:val="28"/>
          <w:szCs w:val="28"/>
        </w:rPr>
      </w:pPr>
      <w:bookmarkStart w:id="21" w:name="_Toc169117849"/>
      <w:bookmarkStart w:id="22" w:name="_Toc208325527"/>
      <w:r>
        <w:rPr>
          <w:rFonts w:hint="eastAsia" w:ascii="黑体" w:hAnsi="黑体" w:eastAsia="黑体" w:cs="宋体"/>
          <w:sz w:val="28"/>
          <w:szCs w:val="28"/>
        </w:rPr>
        <w:t>第二章  参选人须知前附表</w:t>
      </w:r>
      <w:bookmarkEnd w:id="21"/>
      <w:bookmarkEnd w:id="22"/>
    </w:p>
    <w:tbl>
      <w:tblPr>
        <w:tblStyle w:val="20"/>
        <w:tblW w:w="96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8815"/>
      </w:tblGrid>
      <w:tr w14:paraId="6276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44" w:type="dxa"/>
            <w:vAlign w:val="center"/>
          </w:tcPr>
          <w:p w14:paraId="0631588B">
            <w:pPr>
              <w:spacing w:line="400" w:lineRule="exact"/>
              <w:jc w:val="center"/>
              <w:textAlignment w:val="baseline"/>
              <w:rPr>
                <w:rFonts w:hint="eastAsia" w:ascii="宋体" w:hAnsi="宋体" w:cs="宋体"/>
                <w:bCs/>
                <w:sz w:val="24"/>
              </w:rPr>
            </w:pPr>
            <w:r>
              <w:rPr>
                <w:rFonts w:hint="eastAsia" w:ascii="宋体" w:hAnsi="宋体" w:cs="宋体"/>
                <w:bCs/>
                <w:sz w:val="24"/>
              </w:rPr>
              <w:t>序号</w:t>
            </w:r>
          </w:p>
        </w:tc>
        <w:tc>
          <w:tcPr>
            <w:tcW w:w="8815" w:type="dxa"/>
            <w:vAlign w:val="center"/>
          </w:tcPr>
          <w:p w14:paraId="2E1E7B8D">
            <w:pPr>
              <w:spacing w:line="400" w:lineRule="exact"/>
              <w:jc w:val="center"/>
              <w:textAlignment w:val="baseline"/>
              <w:rPr>
                <w:rFonts w:hint="eastAsia" w:ascii="宋体" w:hAnsi="宋体" w:cs="宋体"/>
                <w:bCs/>
                <w:sz w:val="24"/>
              </w:rPr>
            </w:pPr>
            <w:r>
              <w:rPr>
                <w:rFonts w:hint="eastAsia" w:ascii="宋体" w:hAnsi="宋体" w:cs="宋体"/>
                <w:bCs/>
                <w:kern w:val="0"/>
                <w:sz w:val="24"/>
                <w:lang w:val="zh-CN"/>
              </w:rPr>
              <w:t>编列内容</w:t>
            </w:r>
          </w:p>
        </w:tc>
      </w:tr>
      <w:tr w14:paraId="0E64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vAlign w:val="center"/>
          </w:tcPr>
          <w:p w14:paraId="7DCE74D3">
            <w:pPr>
              <w:widowControl/>
              <w:spacing w:line="400" w:lineRule="exact"/>
              <w:jc w:val="center"/>
              <w:textAlignment w:val="baseline"/>
              <w:rPr>
                <w:rFonts w:hint="eastAsia" w:ascii="宋体" w:hAnsi="宋体" w:cs="宋体"/>
                <w:kern w:val="0"/>
                <w:sz w:val="24"/>
              </w:rPr>
            </w:pPr>
            <w:r>
              <w:rPr>
                <w:rFonts w:hint="eastAsia" w:ascii="宋体" w:hAnsi="宋体" w:cs="宋体"/>
                <w:kern w:val="0"/>
                <w:sz w:val="24"/>
              </w:rPr>
              <w:t>1</w:t>
            </w:r>
          </w:p>
        </w:tc>
        <w:tc>
          <w:tcPr>
            <w:tcW w:w="8815" w:type="dxa"/>
            <w:vAlign w:val="center"/>
          </w:tcPr>
          <w:p w14:paraId="7464C77F">
            <w:pPr>
              <w:widowControl/>
              <w:spacing w:line="400" w:lineRule="exact"/>
              <w:textAlignment w:val="baseline"/>
              <w:rPr>
                <w:rFonts w:hint="eastAsia" w:ascii="宋体" w:hAnsi="宋体" w:cs="宋体"/>
                <w:kern w:val="0"/>
                <w:sz w:val="24"/>
              </w:rPr>
            </w:pPr>
            <w:r>
              <w:rPr>
                <w:rFonts w:hint="eastAsia" w:ascii="宋体" w:hAnsi="宋体" w:cs="宋体"/>
                <w:kern w:val="0"/>
                <w:sz w:val="24"/>
              </w:rPr>
              <w:t>项目编号：CL-3100-202509000056</w:t>
            </w:r>
          </w:p>
          <w:p w14:paraId="59465549">
            <w:pPr>
              <w:widowControl/>
              <w:spacing w:line="400" w:lineRule="exact"/>
              <w:textAlignment w:val="baseline"/>
              <w:rPr>
                <w:rFonts w:hint="eastAsia" w:ascii="宋体" w:hAnsi="宋体" w:cs="宋体"/>
                <w:kern w:val="0"/>
                <w:sz w:val="24"/>
              </w:rPr>
            </w:pPr>
            <w:r>
              <w:rPr>
                <w:rFonts w:hint="eastAsia" w:ascii="宋体" w:hAnsi="宋体" w:cs="宋体"/>
                <w:kern w:val="0"/>
                <w:sz w:val="24"/>
              </w:rPr>
              <w:t>项目名称：</w:t>
            </w:r>
            <w:bookmarkStart w:id="23" w:name="_Hlk208237574"/>
            <w:r>
              <w:rPr>
                <w:rFonts w:hint="eastAsia" w:ascii="宋体" w:hAnsi="宋体" w:cs="宋体"/>
                <w:kern w:val="0"/>
                <w:sz w:val="24"/>
              </w:rPr>
              <w:t>福化古雷化工企业安全、工艺、设备管理体系评审技术服务项目</w:t>
            </w:r>
            <w:bookmarkEnd w:id="23"/>
          </w:p>
          <w:p w14:paraId="7A42BEFD">
            <w:pPr>
              <w:widowControl/>
              <w:spacing w:line="400" w:lineRule="exact"/>
              <w:textAlignment w:val="baseline"/>
              <w:rPr>
                <w:rFonts w:hint="eastAsia" w:ascii="宋体" w:hAnsi="宋体" w:cs="宋体"/>
                <w:kern w:val="0"/>
                <w:sz w:val="24"/>
              </w:rPr>
            </w:pPr>
            <w:r>
              <w:rPr>
                <w:rFonts w:hint="eastAsia" w:ascii="宋体" w:hAnsi="宋体" w:cs="宋体"/>
                <w:kern w:val="0"/>
                <w:sz w:val="24"/>
              </w:rPr>
              <w:t>比选人名称：福建福化古雷石油化工有限公司</w:t>
            </w:r>
          </w:p>
          <w:p w14:paraId="6DA5D835">
            <w:pPr>
              <w:widowControl/>
              <w:spacing w:line="400" w:lineRule="exact"/>
              <w:textAlignment w:val="baseline"/>
              <w:rPr>
                <w:rFonts w:hint="eastAsia" w:ascii="宋体" w:hAnsi="宋体" w:cs="宋体"/>
                <w:kern w:val="0"/>
                <w:sz w:val="24"/>
              </w:rPr>
            </w:pPr>
            <w:r>
              <w:rPr>
                <w:rFonts w:hint="eastAsia" w:ascii="宋体" w:hAnsi="宋体" w:cs="宋体"/>
                <w:kern w:val="0"/>
                <w:sz w:val="24"/>
              </w:rPr>
              <w:t>项目内容：详见第五章</w:t>
            </w:r>
          </w:p>
        </w:tc>
      </w:tr>
      <w:tr w14:paraId="0E81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vAlign w:val="center"/>
          </w:tcPr>
          <w:p w14:paraId="3C488999">
            <w:pPr>
              <w:spacing w:line="400" w:lineRule="exact"/>
              <w:jc w:val="center"/>
              <w:textAlignment w:val="baseline"/>
              <w:rPr>
                <w:rFonts w:hint="eastAsia" w:ascii="宋体" w:hAnsi="宋体" w:cs="宋体"/>
                <w:sz w:val="24"/>
              </w:rPr>
            </w:pPr>
            <w:r>
              <w:rPr>
                <w:rFonts w:hint="eastAsia" w:ascii="宋体" w:hAnsi="宋体" w:cs="宋体"/>
                <w:sz w:val="24"/>
              </w:rPr>
              <w:t>2</w:t>
            </w:r>
          </w:p>
        </w:tc>
        <w:tc>
          <w:tcPr>
            <w:tcW w:w="8815" w:type="dxa"/>
            <w:vAlign w:val="center"/>
          </w:tcPr>
          <w:p w14:paraId="45D3835B">
            <w:pPr>
              <w:pStyle w:val="25"/>
              <w:spacing w:line="360" w:lineRule="auto"/>
              <w:ind w:firstLine="0" w:firstLineChars="0"/>
              <w:rPr>
                <w:rFonts w:hint="eastAsia" w:ascii="宋体" w:hAnsi="宋体" w:cs="宋体"/>
                <w:sz w:val="24"/>
              </w:rPr>
            </w:pPr>
            <w:r>
              <w:rPr>
                <w:rFonts w:hint="eastAsia" w:ascii="宋体" w:hAnsi="宋体" w:cs="宋体"/>
                <w:sz w:val="24"/>
              </w:rPr>
              <w:t>参选人资格要求：</w:t>
            </w:r>
          </w:p>
          <w:p w14:paraId="5E630C8E">
            <w:pPr>
              <w:pStyle w:val="25"/>
              <w:spacing w:line="360" w:lineRule="auto"/>
              <w:ind w:firstLine="480" w:firstLineChars="0"/>
              <w:rPr>
                <w:rFonts w:hint="eastAsia" w:ascii="宋体" w:hAnsi="宋体" w:cs="宋体"/>
                <w:sz w:val="24"/>
                <w:szCs w:val="24"/>
              </w:rPr>
            </w:pPr>
            <w:r>
              <w:rPr>
                <w:rFonts w:hint="eastAsia" w:ascii="宋体" w:hAnsi="宋体" w:cs="宋体"/>
                <w:sz w:val="24"/>
                <w:szCs w:val="24"/>
              </w:rPr>
              <w:t>1、参选人须为合法注册并具有中国大陆独立法人资格的企业，且具有良好的财务状况和商业信誉，禁止列入“信用中国”受惩黑名单和失信被执行人企业法人参加比选；</w:t>
            </w:r>
          </w:p>
          <w:p w14:paraId="18E57CE7">
            <w:pPr>
              <w:pStyle w:val="25"/>
              <w:spacing w:line="360" w:lineRule="auto"/>
              <w:ind w:firstLine="480" w:firstLineChars="0"/>
              <w:rPr>
                <w:rFonts w:hint="eastAsia" w:ascii="宋体" w:hAnsi="宋体" w:cs="宋体"/>
                <w:sz w:val="24"/>
                <w:szCs w:val="24"/>
              </w:rPr>
            </w:pPr>
            <w:r>
              <w:rPr>
                <w:rFonts w:hint="eastAsia" w:ascii="宋体" w:hAnsi="宋体" w:cs="宋体"/>
                <w:sz w:val="24"/>
                <w:szCs w:val="24"/>
              </w:rPr>
              <w:t>2、经营年限内与比选人及其权属企业无诉讼/仲裁纠纷，无偷税漏税行为、无税务欺诈行为及其他违法经营行为，参选人须提供信用中国网站查询结果截图、营业执照复印件并加盖公章。</w:t>
            </w:r>
          </w:p>
          <w:p w14:paraId="36F5712D">
            <w:pPr>
              <w:pStyle w:val="25"/>
              <w:spacing w:line="360" w:lineRule="auto"/>
              <w:ind w:firstLine="480"/>
              <w:rPr>
                <w:rFonts w:hint="eastAsia" w:ascii="宋体" w:hAnsi="宋体" w:cs="宋体"/>
                <w:sz w:val="24"/>
                <w:szCs w:val="24"/>
              </w:rPr>
            </w:pPr>
            <w:r>
              <w:rPr>
                <w:rFonts w:hint="eastAsia" w:ascii="宋体" w:hAnsi="宋体" w:cs="宋体"/>
                <w:sz w:val="24"/>
                <w:szCs w:val="24"/>
              </w:rPr>
              <w:t>3、参选代表应执有法定代表人的授权委托书（若为法定代表人直接参加可不需此件，但须提供法定代表人身份证复印件）。</w:t>
            </w:r>
          </w:p>
          <w:p w14:paraId="01039B3A">
            <w:pPr>
              <w:pStyle w:val="25"/>
              <w:spacing w:line="360" w:lineRule="auto"/>
              <w:ind w:firstLine="480"/>
              <w:rPr>
                <w:rFonts w:hint="eastAsia" w:ascii="宋体" w:hAnsi="宋体" w:cs="宋体"/>
                <w:sz w:val="24"/>
                <w:szCs w:val="24"/>
              </w:rPr>
            </w:pPr>
            <w:r>
              <w:rPr>
                <w:rFonts w:hint="eastAsia" w:ascii="宋体" w:hAnsi="宋体" w:cs="宋体"/>
                <w:sz w:val="24"/>
                <w:szCs w:val="24"/>
              </w:rPr>
              <w:t>4、参选人需具备国家认证认可监督管理委员会核发的《认证机构批准书》，认证领域包含质量管理、环境管理、职业健康安全管理管理体系认证资质。</w:t>
            </w:r>
          </w:p>
          <w:p w14:paraId="0266A550">
            <w:pPr>
              <w:pStyle w:val="25"/>
              <w:spacing w:line="360" w:lineRule="auto"/>
              <w:ind w:firstLine="480"/>
              <w:rPr>
                <w:rFonts w:hint="eastAsia" w:ascii="宋体" w:hAnsi="宋体" w:cs="宋体"/>
                <w:sz w:val="24"/>
                <w:szCs w:val="24"/>
              </w:rPr>
            </w:pPr>
            <w:r>
              <w:rPr>
                <w:rFonts w:hint="eastAsia" w:ascii="宋体" w:hAnsi="宋体" w:cs="宋体"/>
                <w:sz w:val="24"/>
                <w:szCs w:val="24"/>
              </w:rPr>
              <w:t>5、参选人需具备有效的国家认证认可监督管理委员会颁发的质量管理体系、环境、职业健康安全管理体系认证认可资格证书。</w:t>
            </w:r>
          </w:p>
          <w:p w14:paraId="36E0AC1B">
            <w:pPr>
              <w:pStyle w:val="25"/>
              <w:spacing w:line="360" w:lineRule="auto"/>
              <w:ind w:firstLine="480"/>
              <w:rPr>
                <w:rFonts w:hint="eastAsia" w:ascii="宋体" w:hAnsi="宋体" w:cs="宋体"/>
                <w:sz w:val="24"/>
                <w:szCs w:val="24"/>
              </w:rPr>
            </w:pPr>
            <w:r>
              <w:rPr>
                <w:rFonts w:hint="eastAsia" w:ascii="宋体" w:hAnsi="宋体" w:cs="宋体"/>
                <w:sz w:val="24"/>
                <w:szCs w:val="24"/>
              </w:rPr>
              <w:t>6、参选人需提供上述相关资料证明。参选人提供的证明材料若为复印件，则复印件均须加盖公章，在中选后进行原件核对。如参选人提供资料证明与事实不符的，需承担相应的经济及法律责任，并取消参选或中选资格。</w:t>
            </w:r>
          </w:p>
          <w:p w14:paraId="64375611">
            <w:pPr>
              <w:pStyle w:val="25"/>
              <w:spacing w:line="360" w:lineRule="auto"/>
              <w:ind w:firstLine="480"/>
              <w:rPr>
                <w:rFonts w:hint="eastAsia" w:ascii="宋体" w:hAnsi="宋体" w:cs="宋体"/>
                <w:sz w:val="24"/>
                <w:szCs w:val="24"/>
              </w:rPr>
            </w:pPr>
            <w:r>
              <w:rPr>
                <w:rFonts w:hint="eastAsia" w:ascii="宋体" w:hAnsi="宋体" w:cs="宋体"/>
                <w:sz w:val="24"/>
                <w:szCs w:val="24"/>
              </w:rPr>
              <w:t>7、近3年内具备至少1个化工企业质量、环境、职业健康管理体系和安全标准化等级评价的相关业绩（附业绩合同或证明材料）；</w:t>
            </w:r>
          </w:p>
          <w:p w14:paraId="39EDBBFE">
            <w:pPr>
              <w:pStyle w:val="25"/>
              <w:spacing w:line="360" w:lineRule="auto"/>
              <w:ind w:firstLine="480"/>
              <w:rPr>
                <w:rFonts w:hint="eastAsia" w:ascii="宋体" w:hAnsi="宋体" w:cs="宋体"/>
                <w:sz w:val="24"/>
                <w:szCs w:val="24"/>
              </w:rPr>
            </w:pPr>
            <w:r>
              <w:rPr>
                <w:rFonts w:hint="eastAsia" w:ascii="宋体" w:hAnsi="宋体" w:cs="宋体"/>
                <w:sz w:val="24"/>
                <w:szCs w:val="24"/>
              </w:rPr>
              <w:t>8、参选人一旦申请参加，就视为对本公告内容无异议。</w:t>
            </w:r>
          </w:p>
          <w:p w14:paraId="7051D5BD">
            <w:pPr>
              <w:spacing w:line="400" w:lineRule="exact"/>
              <w:ind w:firstLine="480" w:firstLineChars="200"/>
              <w:textAlignment w:val="baseline"/>
            </w:pPr>
            <w:r>
              <w:rPr>
                <w:rFonts w:hint="eastAsia" w:ascii="宋体" w:hAnsi="宋体" w:cs="宋体"/>
                <w:sz w:val="24"/>
              </w:rPr>
              <w:t>9、本项目不接受联合体投标。</w:t>
            </w:r>
          </w:p>
        </w:tc>
      </w:tr>
      <w:tr w14:paraId="6FA1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44" w:type="dxa"/>
            <w:vAlign w:val="center"/>
          </w:tcPr>
          <w:p w14:paraId="1EA4D0A4">
            <w:pPr>
              <w:pStyle w:val="17"/>
              <w:spacing w:before="0" w:beforeAutospacing="0" w:after="0" w:afterAutospacing="0" w:line="400" w:lineRule="exact"/>
              <w:jc w:val="center"/>
              <w:textAlignment w:val="baseline"/>
              <w:rPr>
                <w:rFonts w:hint="eastAsia"/>
              </w:rPr>
            </w:pPr>
            <w:r>
              <w:rPr>
                <w:rFonts w:hint="eastAsia"/>
              </w:rPr>
              <w:t>3</w:t>
            </w:r>
          </w:p>
        </w:tc>
        <w:tc>
          <w:tcPr>
            <w:tcW w:w="8815" w:type="dxa"/>
            <w:vAlign w:val="center"/>
          </w:tcPr>
          <w:p w14:paraId="33E4E7EA">
            <w:pPr>
              <w:pStyle w:val="17"/>
              <w:spacing w:before="0" w:beforeAutospacing="0" w:after="0" w:afterAutospacing="0" w:line="400" w:lineRule="exact"/>
              <w:jc w:val="both"/>
              <w:textAlignment w:val="baseline"/>
              <w:rPr>
                <w:rFonts w:hint="eastAsia"/>
              </w:rPr>
            </w:pPr>
            <w:r>
              <w:rPr>
                <w:rStyle w:val="23"/>
                <w:rFonts w:hint="eastAsia" w:ascii="宋体" w:hAnsi="宋体" w:cs="宋体"/>
              </w:rPr>
              <w:t>不允许分包</w:t>
            </w:r>
          </w:p>
        </w:tc>
      </w:tr>
      <w:tr w14:paraId="1CD1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44" w:type="dxa"/>
            <w:vAlign w:val="center"/>
          </w:tcPr>
          <w:p w14:paraId="2C9BCE44">
            <w:pPr>
              <w:pStyle w:val="17"/>
              <w:spacing w:before="0" w:beforeAutospacing="0" w:after="0" w:afterAutospacing="0" w:line="400" w:lineRule="exact"/>
              <w:jc w:val="center"/>
              <w:textAlignment w:val="baseline"/>
              <w:rPr>
                <w:rFonts w:hint="eastAsia"/>
              </w:rPr>
            </w:pPr>
            <w:r>
              <w:rPr>
                <w:rFonts w:hint="eastAsia"/>
              </w:rPr>
              <w:t>4</w:t>
            </w:r>
          </w:p>
        </w:tc>
        <w:tc>
          <w:tcPr>
            <w:tcW w:w="8815" w:type="dxa"/>
            <w:vAlign w:val="center"/>
          </w:tcPr>
          <w:p w14:paraId="7044DCA5">
            <w:pPr>
              <w:pStyle w:val="17"/>
              <w:spacing w:before="0" w:beforeAutospacing="0" w:after="0" w:afterAutospacing="0" w:line="400" w:lineRule="exact"/>
              <w:jc w:val="both"/>
              <w:textAlignment w:val="baseline"/>
              <w:rPr>
                <w:rFonts w:hint="eastAsia"/>
              </w:rPr>
            </w:pPr>
            <w:r>
              <w:rPr>
                <w:rStyle w:val="23"/>
                <w:rFonts w:hint="eastAsia" w:ascii="宋体" w:hAnsi="宋体" w:cs="宋体"/>
              </w:rPr>
              <w:t>参选有效期</w:t>
            </w:r>
            <w:r>
              <w:rPr>
                <w:rFonts w:hint="eastAsia"/>
              </w:rPr>
              <w:t>：比选截止时间起90个日历日。</w:t>
            </w:r>
          </w:p>
        </w:tc>
      </w:tr>
      <w:tr w14:paraId="61A8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44" w:type="dxa"/>
            <w:vAlign w:val="center"/>
          </w:tcPr>
          <w:p w14:paraId="2E16F6D9">
            <w:pPr>
              <w:pStyle w:val="17"/>
              <w:spacing w:before="0" w:beforeAutospacing="0" w:after="0" w:afterAutospacing="0" w:line="400" w:lineRule="exact"/>
              <w:jc w:val="center"/>
              <w:textAlignment w:val="baseline"/>
              <w:rPr>
                <w:rFonts w:hint="eastAsia"/>
              </w:rPr>
            </w:pPr>
            <w:r>
              <w:rPr>
                <w:rFonts w:hint="eastAsia"/>
              </w:rPr>
              <w:t>5</w:t>
            </w:r>
          </w:p>
        </w:tc>
        <w:tc>
          <w:tcPr>
            <w:tcW w:w="8815" w:type="dxa"/>
            <w:vAlign w:val="center"/>
          </w:tcPr>
          <w:p w14:paraId="4208AB83">
            <w:pPr>
              <w:pStyle w:val="17"/>
              <w:spacing w:before="0" w:beforeAutospacing="0" w:after="0" w:afterAutospacing="0" w:line="400" w:lineRule="exact"/>
              <w:jc w:val="both"/>
              <w:textAlignment w:val="baseline"/>
              <w:rPr>
                <w:rFonts w:hint="eastAsia"/>
              </w:rPr>
            </w:pPr>
            <w:r>
              <w:rPr>
                <w:rFonts w:hint="eastAsia"/>
                <w:b/>
              </w:rPr>
              <w:t>参比保证金：</w:t>
            </w:r>
            <w:r>
              <w:rPr>
                <w:rFonts w:hint="eastAsia"/>
              </w:rPr>
              <w:t>无</w:t>
            </w:r>
          </w:p>
        </w:tc>
      </w:tr>
      <w:tr w14:paraId="712E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44" w:type="dxa"/>
            <w:vAlign w:val="center"/>
          </w:tcPr>
          <w:p w14:paraId="1D52F2F6">
            <w:pPr>
              <w:pStyle w:val="17"/>
              <w:spacing w:before="0" w:beforeAutospacing="0" w:after="0" w:afterAutospacing="0" w:line="400" w:lineRule="exact"/>
              <w:jc w:val="center"/>
              <w:textAlignment w:val="baseline"/>
              <w:rPr>
                <w:rFonts w:hint="eastAsia"/>
              </w:rPr>
            </w:pPr>
            <w:r>
              <w:rPr>
                <w:rFonts w:hint="eastAsia"/>
              </w:rPr>
              <w:t>6</w:t>
            </w:r>
          </w:p>
        </w:tc>
        <w:tc>
          <w:tcPr>
            <w:tcW w:w="8815" w:type="dxa"/>
            <w:vAlign w:val="center"/>
          </w:tcPr>
          <w:p w14:paraId="123F8C87">
            <w:pPr>
              <w:pStyle w:val="17"/>
              <w:spacing w:before="0" w:beforeAutospacing="0" w:after="0" w:afterAutospacing="0" w:line="400" w:lineRule="exact"/>
              <w:jc w:val="both"/>
              <w:textAlignment w:val="baseline"/>
              <w:rPr>
                <w:rFonts w:hint="eastAsia"/>
              </w:rPr>
            </w:pPr>
            <w:r>
              <w:rPr>
                <w:rStyle w:val="23"/>
                <w:rFonts w:hint="eastAsia" w:ascii="宋体" w:hAnsi="宋体" w:cs="宋体"/>
              </w:rPr>
              <w:t>本项目中选人的确定（以合同包为单位）：</w:t>
            </w:r>
          </w:p>
          <w:p w14:paraId="2AFEE39F">
            <w:pPr>
              <w:pStyle w:val="17"/>
              <w:spacing w:before="0" w:beforeAutospacing="0" w:after="0" w:afterAutospacing="0" w:line="400" w:lineRule="exact"/>
              <w:jc w:val="both"/>
              <w:textAlignment w:val="baseline"/>
              <w:rPr>
                <w:rFonts w:hint="eastAsia"/>
              </w:rPr>
            </w:pPr>
            <w:r>
              <w:rPr>
                <w:rFonts w:hint="eastAsia"/>
              </w:rPr>
              <w:t>（1）比选人应在规定的时限内确定中选人。</w:t>
            </w:r>
          </w:p>
          <w:p w14:paraId="0F6F16AB">
            <w:pPr>
              <w:pStyle w:val="17"/>
              <w:spacing w:before="0" w:beforeAutospacing="0" w:after="0" w:afterAutospacing="0" w:line="400" w:lineRule="exact"/>
              <w:jc w:val="both"/>
              <w:textAlignment w:val="baseline"/>
              <w:rPr>
                <w:rFonts w:hint="eastAsia"/>
              </w:rPr>
            </w:pPr>
            <w:r>
              <w:rPr>
                <w:rFonts w:hint="eastAsia"/>
              </w:rPr>
              <w:t>（2）若出现中选候选人并列情形，则按照下列方式确定中选人：</w:t>
            </w:r>
          </w:p>
          <w:p w14:paraId="33C551AC">
            <w:pPr>
              <w:pStyle w:val="17"/>
              <w:spacing w:before="0" w:beforeAutospacing="0" w:after="0" w:afterAutospacing="0" w:line="400" w:lineRule="exact"/>
              <w:ind w:firstLine="240" w:firstLineChars="100"/>
              <w:textAlignment w:val="baseline"/>
              <w:rPr>
                <w:rFonts w:hint="eastAsia"/>
              </w:rPr>
            </w:pPr>
            <w:r>
              <w:rPr>
                <w:rFonts w:hint="eastAsia"/>
              </w:rPr>
              <w:t>①评审总得分相同的，按照</w:t>
            </w:r>
            <w:r>
              <w:rPr>
                <w:rFonts w:hint="eastAsia"/>
                <w:lang w:val="en-US" w:eastAsia="zh-CN"/>
              </w:rPr>
              <w:t>商务报价</w:t>
            </w:r>
            <w:r>
              <w:rPr>
                <w:rFonts w:hint="eastAsia"/>
              </w:rPr>
              <w:t>由低到高顺序排列。</w:t>
            </w:r>
          </w:p>
          <w:p w14:paraId="33DB0C20">
            <w:pPr>
              <w:pStyle w:val="17"/>
              <w:spacing w:before="0" w:beforeAutospacing="0" w:after="0" w:afterAutospacing="0" w:line="400" w:lineRule="exact"/>
              <w:ind w:firstLine="240" w:firstLineChars="100"/>
              <w:jc w:val="both"/>
              <w:textAlignment w:val="baseline"/>
              <w:rPr>
                <w:rFonts w:hint="eastAsia"/>
              </w:rPr>
            </w:pPr>
            <w:r>
              <w:rPr>
                <w:rFonts w:hint="eastAsia"/>
              </w:rPr>
              <w:t>②评审总得分且</w:t>
            </w:r>
            <w:r>
              <w:rPr>
                <w:rFonts w:hint="eastAsia"/>
                <w:lang w:val="en-US" w:eastAsia="zh-CN"/>
              </w:rPr>
              <w:t>商务报价</w:t>
            </w:r>
            <w:r>
              <w:rPr>
                <w:rFonts w:hint="eastAsia"/>
              </w:rPr>
              <w:t>相同的按技术得分由高到低顺序排列。</w:t>
            </w:r>
          </w:p>
          <w:p w14:paraId="756CFCE4">
            <w:pPr>
              <w:pStyle w:val="17"/>
              <w:spacing w:before="0" w:beforeAutospacing="0" w:after="0" w:afterAutospacing="0" w:line="400" w:lineRule="exact"/>
              <w:jc w:val="both"/>
              <w:textAlignment w:val="baseline"/>
              <w:rPr>
                <w:rStyle w:val="23"/>
                <w:rFonts w:hint="eastAsia" w:ascii="宋体" w:hAnsi="宋体" w:cs="宋体"/>
                <w:b w:val="0"/>
                <w:bCs w:val="0"/>
              </w:rPr>
            </w:pPr>
            <w:r>
              <w:rPr>
                <w:rFonts w:hint="eastAsia"/>
              </w:rPr>
              <w:t>（3）本项目确定的中选人家数：</w:t>
            </w:r>
            <w:r>
              <w:rPr>
                <w:rFonts w:hint="eastAsia"/>
                <w:b/>
                <w:bCs/>
              </w:rPr>
              <w:t>本项目确定中选人数为1家。</w:t>
            </w:r>
          </w:p>
        </w:tc>
      </w:tr>
      <w:tr w14:paraId="5791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vAlign w:val="center"/>
          </w:tcPr>
          <w:p w14:paraId="2681530E">
            <w:pPr>
              <w:pStyle w:val="17"/>
              <w:spacing w:before="0" w:beforeAutospacing="0" w:after="0" w:afterAutospacing="0" w:line="400" w:lineRule="exact"/>
              <w:jc w:val="center"/>
              <w:textAlignment w:val="baseline"/>
              <w:rPr>
                <w:rFonts w:hint="eastAsia"/>
              </w:rPr>
            </w:pPr>
            <w:r>
              <w:rPr>
                <w:rFonts w:hint="eastAsia"/>
              </w:rPr>
              <w:t>7</w:t>
            </w:r>
          </w:p>
        </w:tc>
        <w:tc>
          <w:tcPr>
            <w:tcW w:w="8815" w:type="dxa"/>
            <w:vAlign w:val="center"/>
          </w:tcPr>
          <w:p w14:paraId="4A5BFE80">
            <w:pPr>
              <w:spacing w:line="400" w:lineRule="exact"/>
              <w:textAlignment w:val="baseline"/>
              <w:rPr>
                <w:rFonts w:hint="eastAsia" w:ascii="宋体" w:hAnsi="宋体" w:cs="宋体"/>
                <w:b/>
                <w:sz w:val="24"/>
              </w:rPr>
            </w:pPr>
            <w:r>
              <w:rPr>
                <w:rFonts w:hint="eastAsia" w:ascii="宋体" w:hAnsi="宋体" w:cs="宋体"/>
                <w:b/>
                <w:sz w:val="24"/>
              </w:rPr>
              <w:t>无效条款：</w:t>
            </w:r>
          </w:p>
          <w:p w14:paraId="463F5A1A">
            <w:pPr>
              <w:spacing w:line="400" w:lineRule="exact"/>
              <w:textAlignment w:val="baseline"/>
              <w:rPr>
                <w:rFonts w:hint="eastAsia" w:ascii="宋体" w:hAnsi="宋体" w:cs="宋体"/>
                <w:b/>
                <w:sz w:val="24"/>
              </w:rPr>
            </w:pPr>
            <w:r>
              <w:rPr>
                <w:rFonts w:hint="eastAsia" w:ascii="宋体" w:hAnsi="宋体" w:cs="宋体"/>
                <w:b/>
                <w:sz w:val="24"/>
              </w:rPr>
              <w:t>（1）参选文件未按规定进行编制、递交的；</w:t>
            </w:r>
          </w:p>
          <w:p w14:paraId="07707CFA">
            <w:pPr>
              <w:spacing w:line="400" w:lineRule="exact"/>
              <w:textAlignment w:val="baseline"/>
              <w:rPr>
                <w:rFonts w:hint="eastAsia" w:ascii="宋体" w:hAnsi="宋体" w:cs="宋体"/>
                <w:b/>
                <w:sz w:val="24"/>
              </w:rPr>
            </w:pPr>
            <w:r>
              <w:rPr>
                <w:rFonts w:hint="eastAsia" w:ascii="宋体" w:hAnsi="宋体" w:cs="宋体"/>
                <w:b/>
                <w:sz w:val="24"/>
              </w:rPr>
              <w:t>（2）未按规定由参选人的法定代表人或其授权代表签字，或未加盖参选人公章；</w:t>
            </w:r>
          </w:p>
          <w:p w14:paraId="01773B05">
            <w:pPr>
              <w:spacing w:line="400" w:lineRule="exact"/>
              <w:textAlignment w:val="baseline"/>
              <w:rPr>
                <w:rFonts w:hint="eastAsia" w:ascii="宋体" w:hAnsi="宋体" w:cs="宋体"/>
                <w:b/>
                <w:sz w:val="24"/>
              </w:rPr>
            </w:pPr>
            <w:r>
              <w:rPr>
                <w:rFonts w:hint="eastAsia" w:ascii="宋体" w:hAnsi="宋体" w:cs="宋体"/>
                <w:b/>
                <w:bCs/>
                <w:sz w:val="24"/>
              </w:rPr>
              <w:t>（3）参选人提交的资质证明的所有复印</w:t>
            </w:r>
            <w:r>
              <w:rPr>
                <w:rFonts w:hint="eastAsia" w:ascii="宋体" w:hAnsi="宋体" w:cs="宋体"/>
                <w:b/>
                <w:sz w:val="24"/>
              </w:rPr>
              <w:t>件不是最新（有效）、清晰，及未加盖持有者的公章或捺印；</w:t>
            </w:r>
          </w:p>
          <w:p w14:paraId="561FEB22">
            <w:pPr>
              <w:spacing w:line="400" w:lineRule="exact"/>
              <w:textAlignment w:val="baseline"/>
              <w:rPr>
                <w:rFonts w:hint="eastAsia" w:ascii="宋体" w:hAnsi="宋体" w:cs="宋体"/>
                <w:b/>
                <w:sz w:val="24"/>
              </w:rPr>
            </w:pPr>
            <w:r>
              <w:rPr>
                <w:rFonts w:hint="eastAsia" w:ascii="宋体" w:hAnsi="宋体" w:cs="宋体"/>
                <w:b/>
                <w:sz w:val="24"/>
              </w:rPr>
              <w:t>（4）文件有效期不满足比选文件要求的；</w:t>
            </w:r>
          </w:p>
          <w:p w14:paraId="218C59A9">
            <w:pPr>
              <w:spacing w:line="400" w:lineRule="exact"/>
              <w:textAlignment w:val="baseline"/>
              <w:rPr>
                <w:rFonts w:hint="eastAsia" w:ascii="宋体" w:hAnsi="宋体" w:cs="宋体"/>
                <w:b/>
                <w:sz w:val="24"/>
              </w:rPr>
            </w:pPr>
            <w:r>
              <w:rPr>
                <w:rFonts w:hint="eastAsia" w:ascii="宋体" w:hAnsi="宋体" w:cs="宋体"/>
                <w:b/>
                <w:sz w:val="24"/>
              </w:rPr>
              <w:t>（5）参选人在比选截止期后修改参选文件的；</w:t>
            </w:r>
          </w:p>
          <w:p w14:paraId="20587353">
            <w:pPr>
              <w:spacing w:line="400" w:lineRule="exact"/>
              <w:textAlignment w:val="baseline"/>
              <w:rPr>
                <w:rFonts w:hint="eastAsia" w:ascii="宋体" w:hAnsi="宋体" w:cs="宋体"/>
                <w:b/>
                <w:sz w:val="24"/>
              </w:rPr>
            </w:pPr>
            <w:r>
              <w:rPr>
                <w:rFonts w:hint="eastAsia" w:ascii="宋体" w:hAnsi="宋体" w:cs="宋体"/>
                <w:b/>
                <w:sz w:val="24"/>
              </w:rPr>
              <w:t>（6）未满足参选人须知前附表序号‘2’合格参选人资格条件的；</w:t>
            </w:r>
          </w:p>
          <w:p w14:paraId="7C4D0334">
            <w:pPr>
              <w:spacing w:line="400" w:lineRule="exact"/>
              <w:textAlignment w:val="baseline"/>
              <w:rPr>
                <w:rFonts w:hint="eastAsia" w:ascii="宋体" w:hAnsi="宋体" w:cs="宋体"/>
                <w:b/>
                <w:sz w:val="24"/>
              </w:rPr>
            </w:pPr>
            <w:r>
              <w:rPr>
                <w:rFonts w:hint="eastAsia" w:ascii="宋体" w:hAnsi="宋体" w:cs="宋体"/>
                <w:b/>
                <w:sz w:val="24"/>
              </w:rPr>
              <w:t>（7）比选内容及要求有重大偏离或保留的；</w:t>
            </w:r>
          </w:p>
          <w:p w14:paraId="3180C9BE">
            <w:pPr>
              <w:spacing w:line="400" w:lineRule="exact"/>
              <w:textAlignment w:val="baseline"/>
              <w:rPr>
                <w:rFonts w:hint="eastAsia" w:ascii="宋体" w:hAnsi="宋体" w:cs="宋体"/>
                <w:b/>
                <w:sz w:val="24"/>
              </w:rPr>
            </w:pPr>
            <w:r>
              <w:rPr>
                <w:rFonts w:hint="eastAsia" w:ascii="宋体" w:hAnsi="宋体" w:cs="宋体"/>
                <w:b/>
                <w:sz w:val="24"/>
              </w:rPr>
              <w:t>（8）参选人提交的是可选择的报价；</w:t>
            </w:r>
          </w:p>
          <w:p w14:paraId="34C84E93">
            <w:pPr>
              <w:spacing w:line="400" w:lineRule="exact"/>
              <w:textAlignment w:val="baseline"/>
              <w:rPr>
                <w:rFonts w:hint="eastAsia" w:ascii="宋体" w:hAnsi="宋体" w:cs="宋体"/>
                <w:b/>
                <w:sz w:val="24"/>
              </w:rPr>
            </w:pPr>
            <w:r>
              <w:rPr>
                <w:rFonts w:hint="eastAsia" w:ascii="宋体" w:hAnsi="宋体" w:cs="宋体"/>
                <w:b/>
                <w:sz w:val="24"/>
              </w:rPr>
              <w:t>（9）参选文件组成不符合比选文件要求的；</w:t>
            </w:r>
          </w:p>
          <w:p w14:paraId="037B1AFF">
            <w:pPr>
              <w:spacing w:line="400" w:lineRule="exact"/>
              <w:textAlignment w:val="baseline"/>
              <w:rPr>
                <w:rFonts w:hint="eastAsia" w:ascii="宋体" w:hAnsi="宋体" w:cs="宋体"/>
                <w:b/>
                <w:sz w:val="24"/>
              </w:rPr>
            </w:pPr>
            <w:r>
              <w:rPr>
                <w:rFonts w:hint="eastAsia" w:ascii="宋体" w:hAnsi="宋体" w:cs="宋体"/>
                <w:b/>
                <w:sz w:val="24"/>
              </w:rPr>
              <w:t>（10）参选文件中提供虚假或失实资料的；</w:t>
            </w:r>
          </w:p>
          <w:p w14:paraId="24C767F4">
            <w:pPr>
              <w:spacing w:line="400" w:lineRule="exact"/>
              <w:textAlignment w:val="baseline"/>
              <w:rPr>
                <w:rFonts w:hint="eastAsia" w:ascii="宋体" w:hAnsi="宋体" w:cs="宋体"/>
                <w:b/>
                <w:sz w:val="24"/>
              </w:rPr>
            </w:pPr>
            <w:r>
              <w:rPr>
                <w:rFonts w:hint="eastAsia" w:ascii="宋体" w:hAnsi="宋体" w:cs="宋体"/>
                <w:b/>
                <w:sz w:val="24"/>
              </w:rPr>
              <w:t>（11）不符合比选文件中规定的其它实质性条款；</w:t>
            </w:r>
          </w:p>
          <w:p w14:paraId="10EBC1C7">
            <w:pPr>
              <w:spacing w:line="400" w:lineRule="exact"/>
              <w:textAlignment w:val="baseline"/>
              <w:rPr>
                <w:rFonts w:hint="eastAsia" w:ascii="宋体" w:hAnsi="宋体" w:cs="宋体"/>
                <w:b/>
                <w:sz w:val="24"/>
              </w:rPr>
            </w:pPr>
            <w:r>
              <w:rPr>
                <w:rFonts w:hint="eastAsia" w:ascii="宋体" w:hAnsi="宋体" w:cs="宋体"/>
                <w:b/>
                <w:sz w:val="24"/>
              </w:rPr>
              <w:t>（12）未按规定办理报名手续的；</w:t>
            </w:r>
          </w:p>
          <w:p w14:paraId="3F75A35E">
            <w:pPr>
              <w:spacing w:line="400" w:lineRule="exact"/>
              <w:textAlignment w:val="baseline"/>
              <w:rPr>
                <w:rFonts w:hint="eastAsia" w:ascii="宋体" w:hAnsi="宋体" w:cs="宋体"/>
                <w:b/>
                <w:sz w:val="24"/>
              </w:rPr>
            </w:pPr>
            <w:r>
              <w:rPr>
                <w:rFonts w:hint="eastAsia" w:ascii="宋体" w:hAnsi="宋体" w:cs="宋体"/>
                <w:b/>
                <w:sz w:val="24"/>
              </w:rPr>
              <w:t>（13）有串通参选情形的；</w:t>
            </w:r>
          </w:p>
          <w:p w14:paraId="1F093035">
            <w:pPr>
              <w:pStyle w:val="28"/>
              <w:spacing w:line="400" w:lineRule="exact"/>
              <w:textAlignment w:val="baseline"/>
              <w:rPr>
                <w:rFonts w:hint="eastAsia" w:ascii="宋体" w:hAnsi="宋体" w:cs="宋体"/>
                <w:b/>
                <w:sz w:val="24"/>
                <w:szCs w:val="24"/>
              </w:rPr>
            </w:pPr>
            <w:r>
              <w:rPr>
                <w:rFonts w:hint="eastAsia" w:ascii="宋体" w:hAnsi="宋体" w:cs="宋体"/>
                <w:b/>
                <w:sz w:val="24"/>
                <w:szCs w:val="24"/>
              </w:rPr>
              <w:t>（14）</w:t>
            </w:r>
            <w:r>
              <w:rPr>
                <w:rFonts w:hint="eastAsia" w:ascii="宋体" w:hAnsi="宋体" w:cs="宋体"/>
                <w:b/>
                <w:sz w:val="24"/>
              </w:rPr>
              <w:t>参选</w:t>
            </w:r>
            <w:r>
              <w:rPr>
                <w:rFonts w:hint="eastAsia" w:ascii="宋体" w:hAnsi="宋体" w:cs="宋体"/>
                <w:b/>
                <w:sz w:val="24"/>
                <w:szCs w:val="24"/>
              </w:rPr>
              <w:t>文件附有比选人不能接受的条件；</w:t>
            </w:r>
          </w:p>
          <w:p w14:paraId="3E8B19AD">
            <w:pPr>
              <w:pStyle w:val="28"/>
              <w:spacing w:line="400" w:lineRule="exact"/>
              <w:textAlignment w:val="baseline"/>
              <w:rPr>
                <w:rFonts w:hint="eastAsia" w:ascii="宋体" w:hAnsi="宋体" w:cs="宋体"/>
                <w:b/>
                <w:sz w:val="24"/>
                <w:szCs w:val="24"/>
              </w:rPr>
            </w:pPr>
            <w:r>
              <w:rPr>
                <w:rFonts w:hint="eastAsia" w:ascii="宋体" w:hAnsi="宋体" w:cs="宋体"/>
                <w:b/>
                <w:sz w:val="24"/>
                <w:szCs w:val="24"/>
              </w:rPr>
              <w:t>（15）有试图影响评审委员会对参选文件的评估、比较或者推荐候选人的行为的；</w:t>
            </w:r>
          </w:p>
          <w:p w14:paraId="7964D311">
            <w:pPr>
              <w:pStyle w:val="28"/>
              <w:spacing w:line="400" w:lineRule="exact"/>
              <w:textAlignment w:val="baseline"/>
              <w:rPr>
                <w:rFonts w:hint="eastAsia" w:ascii="宋体" w:hAnsi="宋体" w:cs="宋体"/>
                <w:b/>
                <w:sz w:val="24"/>
                <w:szCs w:val="24"/>
              </w:rPr>
            </w:pPr>
            <w:r>
              <w:rPr>
                <w:rFonts w:hint="eastAsia" w:ascii="宋体" w:hAnsi="宋体" w:cs="宋体"/>
                <w:b/>
                <w:sz w:val="24"/>
                <w:szCs w:val="24"/>
              </w:rPr>
              <w:t>（16）参选人不接受评审委员会对参选文件中的算术错误进行更正的；</w:t>
            </w:r>
          </w:p>
          <w:p w14:paraId="2C022F7C">
            <w:pPr>
              <w:pStyle w:val="28"/>
              <w:spacing w:line="400" w:lineRule="exact"/>
              <w:textAlignment w:val="baseline"/>
              <w:rPr>
                <w:rFonts w:hint="eastAsia" w:ascii="宋体" w:hAnsi="宋体" w:cs="宋体"/>
                <w:b/>
                <w:sz w:val="24"/>
              </w:rPr>
            </w:pPr>
            <w:r>
              <w:rPr>
                <w:rFonts w:hint="eastAsia" w:ascii="宋体" w:hAnsi="宋体" w:cs="宋体"/>
                <w:b/>
                <w:sz w:val="24"/>
                <w:szCs w:val="24"/>
              </w:rPr>
              <w:t>（17）参选人出现评审标准和方法中无</w:t>
            </w:r>
            <w:r>
              <w:rPr>
                <w:rFonts w:hint="eastAsia" w:ascii="宋体" w:hAnsi="宋体" w:cs="宋体"/>
                <w:b/>
                <w:sz w:val="24"/>
              </w:rPr>
              <w:t>效评审规定的。</w:t>
            </w:r>
          </w:p>
          <w:p w14:paraId="6AE468B5">
            <w:pPr>
              <w:pStyle w:val="17"/>
              <w:spacing w:before="0" w:beforeAutospacing="0" w:after="0" w:afterAutospacing="0" w:line="400" w:lineRule="exact"/>
              <w:jc w:val="both"/>
              <w:textAlignment w:val="baseline"/>
              <w:rPr>
                <w:rFonts w:hint="eastAsia"/>
                <w:b/>
                <w:bCs/>
              </w:rPr>
            </w:pPr>
            <w:r>
              <w:rPr>
                <w:rFonts w:hint="eastAsia"/>
                <w:b/>
                <w:bCs/>
              </w:rPr>
              <w:t>（18）评审委员会决定比选的响应性只根据参选文件本身的内容，而不寻求其他的外部证据。</w:t>
            </w:r>
          </w:p>
        </w:tc>
      </w:tr>
      <w:tr w14:paraId="0DF5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44" w:type="dxa"/>
            <w:vAlign w:val="center"/>
          </w:tcPr>
          <w:p w14:paraId="121523FF">
            <w:pPr>
              <w:pStyle w:val="17"/>
              <w:spacing w:before="0" w:beforeAutospacing="0" w:after="0" w:afterAutospacing="0" w:line="400" w:lineRule="exact"/>
              <w:jc w:val="center"/>
              <w:textAlignment w:val="baseline"/>
              <w:rPr>
                <w:rFonts w:hint="eastAsia"/>
              </w:rPr>
            </w:pPr>
            <w:r>
              <w:rPr>
                <w:rFonts w:hint="eastAsia"/>
              </w:rPr>
              <w:t>8</w:t>
            </w:r>
          </w:p>
        </w:tc>
        <w:tc>
          <w:tcPr>
            <w:tcW w:w="8815" w:type="dxa"/>
            <w:vAlign w:val="center"/>
          </w:tcPr>
          <w:p w14:paraId="501298A5">
            <w:pPr>
              <w:pStyle w:val="17"/>
              <w:spacing w:before="0" w:beforeAutospacing="0" w:after="0" w:afterAutospacing="0" w:line="400" w:lineRule="exact"/>
              <w:jc w:val="both"/>
              <w:textAlignment w:val="baseline"/>
              <w:rPr>
                <w:rFonts w:hint="eastAsia"/>
              </w:rPr>
            </w:pPr>
            <w:r>
              <w:rPr>
                <w:rStyle w:val="23"/>
                <w:rFonts w:hint="eastAsia" w:ascii="宋体" w:hAnsi="宋体" w:cs="宋体"/>
              </w:rPr>
              <w:t>信息发布媒体：</w:t>
            </w:r>
          </w:p>
          <w:p w14:paraId="7476D5D1">
            <w:pPr>
              <w:pStyle w:val="17"/>
              <w:spacing w:before="0" w:beforeAutospacing="0" w:after="0" w:afterAutospacing="0" w:line="400" w:lineRule="exact"/>
              <w:jc w:val="both"/>
              <w:textAlignment w:val="baseline"/>
              <w:rPr>
                <w:rFonts w:hint="eastAsia"/>
              </w:rPr>
            </w:pPr>
            <w:r>
              <w:rPr>
                <w:rFonts w:hint="eastAsia"/>
              </w:rPr>
              <w:t>福建能源石化集团阳光采购平台、福建福化古雷石油化工有限公司官网</w:t>
            </w:r>
          </w:p>
        </w:tc>
      </w:tr>
    </w:tbl>
    <w:p w14:paraId="26A0A241">
      <w:r>
        <w:rPr>
          <w:rFonts w:hint="eastAsia"/>
        </w:rPr>
        <w:br w:type="page"/>
      </w:r>
    </w:p>
    <w:p w14:paraId="7B7D71AC">
      <w:pPr>
        <w:pStyle w:val="2"/>
        <w:spacing w:after="0"/>
        <w:jc w:val="center"/>
        <w:outlineLvl w:val="0"/>
        <w:rPr>
          <w:rFonts w:hint="eastAsia" w:ascii="黑体" w:hAnsi="黑体" w:eastAsia="黑体" w:cs="宋体"/>
          <w:sz w:val="28"/>
          <w:szCs w:val="28"/>
        </w:rPr>
      </w:pPr>
      <w:bookmarkStart w:id="24" w:name="_Toc169117850"/>
      <w:bookmarkStart w:id="25" w:name="_Toc208325528"/>
      <w:r>
        <w:rPr>
          <w:rFonts w:hint="eastAsia" w:ascii="黑体" w:hAnsi="黑体" w:eastAsia="黑体" w:cs="宋体"/>
          <w:sz w:val="28"/>
          <w:szCs w:val="28"/>
        </w:rPr>
        <w:t>第三章  参选人须知</w:t>
      </w:r>
      <w:bookmarkEnd w:id="24"/>
      <w:bookmarkEnd w:id="25"/>
    </w:p>
    <w:p w14:paraId="167EE06D">
      <w:pPr>
        <w:widowControl/>
        <w:tabs>
          <w:tab w:val="left" w:pos="900"/>
          <w:tab w:val="left" w:pos="1100"/>
        </w:tabs>
        <w:spacing w:line="360" w:lineRule="auto"/>
        <w:ind w:left="420" w:leftChars="200"/>
        <w:jc w:val="left"/>
        <w:outlineLvl w:val="1"/>
        <w:rPr>
          <w:rFonts w:hint="eastAsia" w:ascii="宋体" w:hAnsi="宋体" w:cs="宋体"/>
          <w:b/>
          <w:sz w:val="24"/>
        </w:rPr>
      </w:pPr>
      <w:bookmarkStart w:id="26" w:name="_Toc169117851"/>
      <w:bookmarkStart w:id="27" w:name="_Toc208325529"/>
      <w:bookmarkStart w:id="28" w:name="_Toc6667"/>
      <w:bookmarkStart w:id="29" w:name="_Toc7338"/>
      <w:bookmarkStart w:id="30" w:name="_Toc11054"/>
      <w:r>
        <w:rPr>
          <w:rFonts w:hint="eastAsia" w:ascii="宋体" w:hAnsi="宋体" w:cs="宋体"/>
          <w:b/>
          <w:sz w:val="24"/>
        </w:rPr>
        <w:t>一、总则</w:t>
      </w:r>
      <w:bookmarkEnd w:id="26"/>
      <w:bookmarkEnd w:id="27"/>
      <w:bookmarkEnd w:id="28"/>
      <w:bookmarkEnd w:id="29"/>
      <w:bookmarkEnd w:id="30"/>
    </w:p>
    <w:p w14:paraId="1C7482B4">
      <w:pPr>
        <w:pStyle w:val="17"/>
        <w:spacing w:before="75" w:beforeAutospacing="0" w:after="75" w:afterAutospacing="0" w:line="400" w:lineRule="exact"/>
        <w:ind w:left="420" w:leftChars="200"/>
        <w:jc w:val="both"/>
        <w:textAlignment w:val="baseline"/>
        <w:rPr>
          <w:rFonts w:hint="eastAsia"/>
          <w:b/>
          <w:bCs/>
        </w:rPr>
      </w:pPr>
      <w:r>
        <w:rPr>
          <w:rFonts w:hint="eastAsia"/>
          <w:b/>
          <w:bCs/>
        </w:rPr>
        <w:t>1、适用范围</w:t>
      </w:r>
    </w:p>
    <w:p w14:paraId="3CC6E358">
      <w:pPr>
        <w:pStyle w:val="17"/>
        <w:spacing w:before="75" w:beforeAutospacing="0" w:after="75" w:afterAutospacing="0" w:line="400" w:lineRule="exact"/>
        <w:ind w:left="420" w:leftChars="200"/>
        <w:jc w:val="both"/>
        <w:textAlignment w:val="baseline"/>
        <w:rPr>
          <w:rFonts w:hint="eastAsia"/>
        </w:rPr>
      </w:pPr>
      <w:r>
        <w:rPr>
          <w:rFonts w:hint="eastAsia"/>
        </w:rPr>
        <w:t>适用于</w:t>
      </w:r>
      <w:r>
        <w:rPr>
          <w:rFonts w:hint="eastAsia"/>
          <w:lang w:val="en-US" w:eastAsia="zh-CN"/>
        </w:rPr>
        <w:t>采购</w:t>
      </w:r>
      <w:r>
        <w:rPr>
          <w:rFonts w:hint="eastAsia"/>
        </w:rPr>
        <w:t>文件载明项目的比选活动（以下简称：“本次比选活动”）。</w:t>
      </w:r>
    </w:p>
    <w:p w14:paraId="350C8A66">
      <w:pPr>
        <w:pStyle w:val="17"/>
        <w:spacing w:before="75" w:beforeAutospacing="0" w:after="75" w:afterAutospacing="0" w:line="400" w:lineRule="exact"/>
        <w:ind w:left="420" w:leftChars="200"/>
        <w:jc w:val="both"/>
        <w:textAlignment w:val="baseline"/>
        <w:rPr>
          <w:rFonts w:hint="eastAsia"/>
          <w:b/>
          <w:bCs/>
        </w:rPr>
      </w:pPr>
      <w:r>
        <w:rPr>
          <w:rFonts w:hint="eastAsia"/>
          <w:b/>
          <w:bCs/>
        </w:rPr>
        <w:t>2、定义</w:t>
      </w:r>
    </w:p>
    <w:p w14:paraId="3D264651">
      <w:pPr>
        <w:pStyle w:val="17"/>
        <w:spacing w:before="75" w:beforeAutospacing="0" w:after="75" w:afterAutospacing="0" w:line="400" w:lineRule="exact"/>
        <w:ind w:left="420" w:leftChars="200"/>
        <w:jc w:val="both"/>
        <w:textAlignment w:val="baseline"/>
        <w:rPr>
          <w:rFonts w:hint="eastAsia"/>
        </w:rPr>
      </w:pPr>
      <w:r>
        <w:rPr>
          <w:rFonts w:hint="eastAsia"/>
        </w:rPr>
        <w:t>“比选人”系福建福化古雷石油化工有限公司，即业主方。</w:t>
      </w:r>
    </w:p>
    <w:p w14:paraId="00647469">
      <w:pPr>
        <w:pStyle w:val="17"/>
        <w:spacing w:before="75" w:beforeAutospacing="0" w:after="75" w:afterAutospacing="0" w:line="400" w:lineRule="exact"/>
        <w:ind w:firstLine="480" w:firstLineChars="200"/>
        <w:jc w:val="both"/>
        <w:textAlignment w:val="baseline"/>
        <w:rPr>
          <w:rFonts w:hint="eastAsia"/>
        </w:rPr>
      </w:pPr>
      <w:r>
        <w:rPr>
          <w:rFonts w:hint="eastAsia"/>
        </w:rPr>
        <w:t>“参选人”系指向比选人报名，领取比选文件，且已经提交或准备提交本次参选文件的企业法人。</w:t>
      </w:r>
    </w:p>
    <w:p w14:paraId="28D29199">
      <w:pPr>
        <w:pStyle w:val="17"/>
        <w:spacing w:before="75" w:beforeAutospacing="0" w:after="75" w:afterAutospacing="0" w:line="400" w:lineRule="exact"/>
        <w:ind w:firstLine="480" w:firstLineChars="200"/>
        <w:jc w:val="both"/>
        <w:textAlignment w:val="baseline"/>
        <w:rPr>
          <w:rFonts w:hint="eastAsia"/>
        </w:rPr>
      </w:pPr>
      <w:r>
        <w:rPr>
          <w:rFonts w:hint="eastAsia"/>
        </w:rPr>
        <w:t>“参选代表”系指全权代表参选人参加本次比选活动并签署参选文件的人，如果参选代表不是参选人的法定代表人，须持有《法定代表人授权委托书》。</w:t>
      </w:r>
    </w:p>
    <w:p w14:paraId="31286FEE">
      <w:pPr>
        <w:pStyle w:val="17"/>
        <w:spacing w:before="75" w:beforeAutospacing="0" w:after="75" w:afterAutospacing="0" w:line="400" w:lineRule="exact"/>
        <w:ind w:left="420" w:leftChars="200"/>
        <w:jc w:val="both"/>
        <w:textAlignment w:val="baseline"/>
        <w:rPr>
          <w:rFonts w:hint="eastAsia"/>
        </w:rPr>
      </w:pPr>
      <w:r>
        <w:rPr>
          <w:rFonts w:hint="eastAsia"/>
        </w:rPr>
        <w:t>“中选人”系指比选人按本比选文件的规定，经评选确定的本比选项目服务提供方。</w:t>
      </w:r>
    </w:p>
    <w:p w14:paraId="775ABB0D">
      <w:pPr>
        <w:pStyle w:val="17"/>
        <w:spacing w:before="75" w:beforeAutospacing="0" w:after="75" w:afterAutospacing="0" w:line="400" w:lineRule="exact"/>
        <w:ind w:left="420" w:leftChars="200"/>
        <w:jc w:val="both"/>
        <w:textAlignment w:val="baseline"/>
        <w:rPr>
          <w:rFonts w:hint="eastAsia"/>
        </w:rPr>
      </w:pPr>
      <w:r>
        <w:rPr>
          <w:rFonts w:hint="eastAsia"/>
        </w:rPr>
        <w:t>“产品”系指向比选人提供的服务产品。</w:t>
      </w:r>
    </w:p>
    <w:p w14:paraId="6EC6C766">
      <w:pPr>
        <w:pStyle w:val="17"/>
        <w:spacing w:before="75" w:beforeAutospacing="0" w:after="75" w:afterAutospacing="0" w:line="400" w:lineRule="exact"/>
        <w:ind w:left="420" w:leftChars="200"/>
        <w:jc w:val="both"/>
        <w:textAlignment w:val="baseline"/>
        <w:rPr>
          <w:rFonts w:hint="eastAsia"/>
        </w:rPr>
      </w:pPr>
      <w:r>
        <w:rPr>
          <w:rFonts w:hint="eastAsia"/>
        </w:rPr>
        <w:t>“服务”系指比选文件规定参选人须承担的服务工作内容和其它的义务。</w:t>
      </w:r>
    </w:p>
    <w:p w14:paraId="5ADC80A0">
      <w:pPr>
        <w:pStyle w:val="17"/>
        <w:spacing w:before="75" w:beforeAutospacing="0" w:after="75" w:afterAutospacing="0" w:line="400" w:lineRule="exact"/>
        <w:ind w:firstLine="480" w:firstLineChars="200"/>
        <w:jc w:val="both"/>
        <w:textAlignment w:val="baseline"/>
        <w:rPr>
          <w:rStyle w:val="23"/>
          <w:rFonts w:hint="eastAsia" w:ascii="宋体" w:hAnsi="宋体" w:cs="宋体"/>
        </w:rPr>
      </w:pPr>
      <w:r>
        <w:rPr>
          <w:rFonts w:hint="eastAsia"/>
        </w:rPr>
        <w:t>“参选费用”无论比选过程中的做法和结果如何，参选人自行承担所有与参加比选有关的全部费用。</w:t>
      </w:r>
    </w:p>
    <w:p w14:paraId="583F5B9B">
      <w:pPr>
        <w:widowControl/>
        <w:tabs>
          <w:tab w:val="left" w:pos="900"/>
          <w:tab w:val="left" w:pos="1100"/>
        </w:tabs>
        <w:spacing w:line="360" w:lineRule="auto"/>
        <w:ind w:left="420" w:leftChars="200"/>
        <w:jc w:val="left"/>
        <w:outlineLvl w:val="1"/>
        <w:rPr>
          <w:rFonts w:hint="eastAsia" w:ascii="宋体" w:hAnsi="宋体" w:cs="宋体"/>
          <w:b/>
          <w:sz w:val="24"/>
        </w:rPr>
      </w:pPr>
      <w:bookmarkStart w:id="31" w:name="_Toc29769"/>
      <w:bookmarkStart w:id="32" w:name="_Toc12112"/>
      <w:bookmarkStart w:id="33" w:name="_Toc169117852"/>
      <w:bookmarkStart w:id="34" w:name="_Toc208325530"/>
      <w:r>
        <w:rPr>
          <w:rFonts w:hint="eastAsia" w:ascii="宋体" w:hAnsi="宋体" w:cs="宋体"/>
          <w:b/>
          <w:sz w:val="24"/>
        </w:rPr>
        <w:t>二、</w:t>
      </w:r>
      <w:bookmarkEnd w:id="31"/>
      <w:bookmarkEnd w:id="32"/>
      <w:r>
        <w:rPr>
          <w:rFonts w:hint="eastAsia" w:ascii="宋体" w:hAnsi="宋体" w:cs="宋体"/>
          <w:b/>
          <w:sz w:val="24"/>
        </w:rPr>
        <w:t>参选人</w:t>
      </w:r>
      <w:bookmarkEnd w:id="33"/>
      <w:bookmarkEnd w:id="34"/>
    </w:p>
    <w:p w14:paraId="11AA2F37">
      <w:pPr>
        <w:pStyle w:val="17"/>
        <w:spacing w:before="75" w:beforeAutospacing="0" w:after="75" w:afterAutospacing="0" w:line="400" w:lineRule="exact"/>
        <w:ind w:left="420" w:leftChars="200"/>
        <w:jc w:val="both"/>
        <w:textAlignment w:val="baseline"/>
        <w:rPr>
          <w:rFonts w:hint="eastAsia"/>
          <w:b/>
          <w:bCs/>
        </w:rPr>
      </w:pPr>
      <w:r>
        <w:rPr>
          <w:rFonts w:hint="eastAsia"/>
          <w:b/>
          <w:bCs/>
        </w:rPr>
        <w:t>3、合格参选人</w:t>
      </w:r>
    </w:p>
    <w:p w14:paraId="48E205A8">
      <w:pPr>
        <w:pStyle w:val="17"/>
        <w:spacing w:before="75" w:beforeAutospacing="0" w:after="75" w:afterAutospacing="0" w:line="400" w:lineRule="exact"/>
        <w:ind w:left="420" w:leftChars="200"/>
        <w:jc w:val="both"/>
        <w:textAlignment w:val="baseline"/>
        <w:rPr>
          <w:rFonts w:hint="eastAsia"/>
        </w:rPr>
      </w:pPr>
      <w:r>
        <w:rPr>
          <w:rFonts w:hint="eastAsia"/>
        </w:rPr>
        <w:t>3.1一般规定</w:t>
      </w:r>
    </w:p>
    <w:p w14:paraId="21FFCC1C">
      <w:pPr>
        <w:pStyle w:val="17"/>
        <w:numPr>
          <w:ilvl w:val="0"/>
          <w:numId w:val="1"/>
        </w:numPr>
        <w:spacing w:before="75" w:beforeAutospacing="0" w:after="75" w:afterAutospacing="0" w:line="400" w:lineRule="exact"/>
        <w:ind w:left="420" w:leftChars="200"/>
        <w:jc w:val="both"/>
        <w:textAlignment w:val="baseline"/>
        <w:rPr>
          <w:rFonts w:hint="eastAsia"/>
        </w:rPr>
      </w:pPr>
      <w:r>
        <w:rPr>
          <w:rFonts w:hint="eastAsia"/>
        </w:rPr>
        <w:t>参选人应遵守有关法律、法规和规章的强制性规定。</w:t>
      </w:r>
    </w:p>
    <w:p w14:paraId="6D460BFC">
      <w:pPr>
        <w:pStyle w:val="17"/>
        <w:numPr>
          <w:ilvl w:val="0"/>
          <w:numId w:val="1"/>
        </w:numPr>
        <w:spacing w:before="75" w:beforeAutospacing="0" w:after="75" w:afterAutospacing="0" w:line="400" w:lineRule="exact"/>
        <w:ind w:left="420" w:leftChars="200"/>
        <w:jc w:val="both"/>
        <w:textAlignment w:val="baseline"/>
        <w:rPr>
          <w:rFonts w:hint="eastAsia"/>
        </w:rPr>
      </w:pPr>
      <w:r>
        <w:rPr>
          <w:rFonts w:hint="eastAsia"/>
        </w:rPr>
        <w:t>参选人的资格要求：详见比选文件第二章参选人须知前附表。</w:t>
      </w:r>
    </w:p>
    <w:p w14:paraId="3346BD21">
      <w:pPr>
        <w:pStyle w:val="17"/>
        <w:spacing w:before="75" w:beforeAutospacing="0" w:after="75" w:afterAutospacing="0" w:line="400" w:lineRule="exact"/>
        <w:ind w:left="420" w:leftChars="200"/>
        <w:jc w:val="both"/>
        <w:textAlignment w:val="baseline"/>
        <w:rPr>
          <w:rFonts w:hint="eastAsia"/>
          <w:b/>
          <w:bCs/>
        </w:rPr>
      </w:pPr>
      <w:r>
        <w:rPr>
          <w:rFonts w:hint="eastAsia"/>
          <w:b/>
          <w:bCs/>
        </w:rPr>
        <w:t>4、参选费用</w:t>
      </w:r>
    </w:p>
    <w:p w14:paraId="3BD27B1F">
      <w:pPr>
        <w:pStyle w:val="17"/>
        <w:spacing w:before="75" w:beforeAutospacing="0" w:after="75" w:afterAutospacing="0" w:line="400" w:lineRule="exact"/>
        <w:ind w:left="420" w:leftChars="200"/>
        <w:jc w:val="both"/>
        <w:textAlignment w:val="baseline"/>
        <w:rPr>
          <w:rFonts w:hint="eastAsia"/>
        </w:rPr>
      </w:pPr>
      <w:r>
        <w:rPr>
          <w:rFonts w:hint="eastAsia"/>
        </w:rPr>
        <w:t>除比选文件另有规定外，参选人应自行承担其参加本项目所涉及的一切费用。</w:t>
      </w:r>
    </w:p>
    <w:p w14:paraId="14CA2FD4">
      <w:pPr>
        <w:pStyle w:val="5"/>
        <w:ind w:left="420" w:leftChars="200"/>
        <w:rPr>
          <w:rFonts w:hint="eastAsia"/>
        </w:rPr>
      </w:pPr>
      <w:bookmarkStart w:id="35" w:name="_Toc23807"/>
      <w:bookmarkStart w:id="36" w:name="_Toc22820"/>
      <w:bookmarkStart w:id="37" w:name="_Toc169117853"/>
      <w:bookmarkStart w:id="38" w:name="_Toc208325531"/>
      <w:r>
        <w:rPr>
          <w:rFonts w:hint="eastAsia"/>
        </w:rPr>
        <w:t>三、</w:t>
      </w:r>
      <w:bookmarkEnd w:id="35"/>
      <w:bookmarkEnd w:id="36"/>
      <w:r>
        <w:rPr>
          <w:rFonts w:hint="eastAsia"/>
        </w:rPr>
        <w:t>比选</w:t>
      </w:r>
      <w:bookmarkEnd w:id="37"/>
      <w:bookmarkEnd w:id="38"/>
    </w:p>
    <w:p w14:paraId="2B998A25">
      <w:pPr>
        <w:pStyle w:val="17"/>
        <w:spacing w:before="75" w:beforeAutospacing="0" w:after="75" w:afterAutospacing="0" w:line="400" w:lineRule="exact"/>
        <w:ind w:left="420" w:leftChars="200"/>
        <w:jc w:val="both"/>
        <w:textAlignment w:val="baseline"/>
        <w:rPr>
          <w:rFonts w:hint="eastAsia"/>
        </w:rPr>
      </w:pPr>
      <w:r>
        <w:rPr>
          <w:rFonts w:hint="eastAsia"/>
          <w:b/>
          <w:bCs/>
        </w:rPr>
        <w:t>5、比选文件</w:t>
      </w:r>
    </w:p>
    <w:p w14:paraId="3C5574C6">
      <w:pPr>
        <w:pStyle w:val="17"/>
        <w:spacing w:before="75" w:beforeAutospacing="0" w:after="75" w:afterAutospacing="0" w:line="400" w:lineRule="exact"/>
        <w:ind w:left="420" w:leftChars="200"/>
        <w:jc w:val="both"/>
        <w:textAlignment w:val="baseline"/>
        <w:rPr>
          <w:rFonts w:hint="eastAsia"/>
        </w:rPr>
      </w:pPr>
      <w:r>
        <w:rPr>
          <w:rFonts w:hint="eastAsia"/>
        </w:rPr>
        <w:t>5.1比选文件由下述部分组成：</w:t>
      </w:r>
    </w:p>
    <w:p w14:paraId="356DA6C6">
      <w:pPr>
        <w:pStyle w:val="17"/>
        <w:spacing w:before="75" w:beforeAutospacing="0" w:after="75" w:afterAutospacing="0" w:line="400" w:lineRule="exact"/>
        <w:ind w:left="420" w:leftChars="200"/>
        <w:jc w:val="both"/>
        <w:textAlignment w:val="baseline"/>
        <w:rPr>
          <w:rFonts w:hint="eastAsia"/>
        </w:rPr>
      </w:pPr>
      <w:r>
        <w:rPr>
          <w:rFonts w:hint="eastAsia"/>
        </w:rPr>
        <w:t>（1）比选公告</w:t>
      </w:r>
    </w:p>
    <w:p w14:paraId="4AA3C169">
      <w:pPr>
        <w:pStyle w:val="17"/>
        <w:spacing w:before="75" w:beforeAutospacing="0" w:after="75" w:afterAutospacing="0" w:line="400" w:lineRule="exact"/>
        <w:ind w:left="420" w:leftChars="200"/>
        <w:jc w:val="both"/>
        <w:textAlignment w:val="baseline"/>
        <w:rPr>
          <w:rFonts w:hint="eastAsia"/>
        </w:rPr>
      </w:pPr>
      <w:r>
        <w:rPr>
          <w:rFonts w:hint="eastAsia"/>
        </w:rPr>
        <w:t>（2）参选人须知前附表</w:t>
      </w:r>
    </w:p>
    <w:p w14:paraId="073FBDED">
      <w:pPr>
        <w:pStyle w:val="17"/>
        <w:spacing w:before="75" w:beforeAutospacing="0" w:after="75" w:afterAutospacing="0" w:line="400" w:lineRule="exact"/>
        <w:ind w:left="420" w:leftChars="200"/>
        <w:jc w:val="both"/>
        <w:textAlignment w:val="baseline"/>
        <w:rPr>
          <w:rFonts w:hint="eastAsia"/>
        </w:rPr>
      </w:pPr>
      <w:r>
        <w:rPr>
          <w:rFonts w:hint="eastAsia"/>
        </w:rPr>
        <w:t>（3）参选人须知</w:t>
      </w:r>
    </w:p>
    <w:p w14:paraId="3365EC57">
      <w:pPr>
        <w:pStyle w:val="17"/>
        <w:spacing w:before="75" w:beforeAutospacing="0" w:after="75" w:afterAutospacing="0" w:line="400" w:lineRule="exact"/>
        <w:ind w:left="420" w:leftChars="200"/>
        <w:jc w:val="both"/>
        <w:textAlignment w:val="baseline"/>
        <w:rPr>
          <w:rFonts w:hint="eastAsia"/>
        </w:rPr>
      </w:pPr>
      <w:r>
        <w:rPr>
          <w:rFonts w:hint="eastAsia"/>
        </w:rPr>
        <w:t>（4）资格审查与评审</w:t>
      </w:r>
    </w:p>
    <w:p w14:paraId="682884C5">
      <w:pPr>
        <w:pStyle w:val="17"/>
        <w:spacing w:before="75" w:beforeAutospacing="0" w:after="75" w:afterAutospacing="0" w:line="400" w:lineRule="exact"/>
        <w:ind w:left="420" w:leftChars="200"/>
        <w:jc w:val="both"/>
        <w:textAlignment w:val="baseline"/>
        <w:rPr>
          <w:rFonts w:hint="eastAsia"/>
        </w:rPr>
      </w:pPr>
      <w:r>
        <w:rPr>
          <w:rFonts w:hint="eastAsia"/>
        </w:rPr>
        <w:t>（5）比选内容及要求</w:t>
      </w:r>
    </w:p>
    <w:p w14:paraId="757A581F">
      <w:pPr>
        <w:pStyle w:val="17"/>
        <w:spacing w:before="75" w:beforeAutospacing="0" w:after="75" w:afterAutospacing="0" w:line="400" w:lineRule="exact"/>
        <w:ind w:left="420" w:leftChars="200"/>
        <w:jc w:val="both"/>
        <w:textAlignment w:val="baseline"/>
        <w:rPr>
          <w:rFonts w:hint="eastAsia"/>
        </w:rPr>
      </w:pPr>
      <w:r>
        <w:rPr>
          <w:rFonts w:hint="eastAsia"/>
        </w:rPr>
        <w:t>（6）采购合同（范本）</w:t>
      </w:r>
    </w:p>
    <w:p w14:paraId="7193A64E">
      <w:pPr>
        <w:pStyle w:val="17"/>
        <w:spacing w:before="75" w:beforeAutospacing="0" w:after="75" w:afterAutospacing="0" w:line="400" w:lineRule="exact"/>
        <w:ind w:left="420" w:leftChars="200"/>
        <w:jc w:val="both"/>
        <w:textAlignment w:val="baseline"/>
        <w:rPr>
          <w:rFonts w:hint="eastAsia"/>
        </w:rPr>
      </w:pPr>
      <w:r>
        <w:rPr>
          <w:rFonts w:hint="eastAsia"/>
        </w:rPr>
        <w:t>（7）参选文件格式</w:t>
      </w:r>
    </w:p>
    <w:p w14:paraId="485FE0B7">
      <w:pPr>
        <w:pStyle w:val="17"/>
        <w:spacing w:before="75" w:beforeAutospacing="0" w:after="75" w:afterAutospacing="0" w:line="400" w:lineRule="exact"/>
        <w:ind w:left="420" w:leftChars="200"/>
        <w:jc w:val="both"/>
        <w:textAlignment w:val="baseline"/>
        <w:rPr>
          <w:rFonts w:hint="eastAsia"/>
        </w:rPr>
      </w:pPr>
      <w:r>
        <w:rPr>
          <w:rFonts w:hint="eastAsia"/>
        </w:rPr>
        <w:t>5.2 比选文件的澄清或修改</w:t>
      </w:r>
    </w:p>
    <w:p w14:paraId="213CB95A">
      <w:pPr>
        <w:pStyle w:val="17"/>
        <w:spacing w:before="75" w:beforeAutospacing="0" w:after="75" w:afterAutospacing="0" w:line="400" w:lineRule="exact"/>
        <w:ind w:firstLine="480" w:firstLineChars="200"/>
        <w:jc w:val="both"/>
        <w:textAlignment w:val="baseline"/>
        <w:rPr>
          <w:rFonts w:hint="eastAsia"/>
        </w:rPr>
      </w:pPr>
      <w:r>
        <w:rPr>
          <w:rFonts w:hint="eastAsia"/>
        </w:rPr>
        <w:t>参比人获取采购文件后，应仔细检查采购文件的所有内容，如有残缺等问题应在获得采购文件1日内</w:t>
      </w:r>
      <w:r>
        <w:rPr>
          <w:rFonts w:hint="eastAsia"/>
          <w:lang w:val="en-US" w:eastAsia="zh-CN"/>
        </w:rPr>
        <w:t>且</w:t>
      </w:r>
      <w:r>
        <w:rPr>
          <w:rFonts w:hint="eastAsia"/>
        </w:rPr>
        <w:t>在参比截止时间前2日向采购人提出。参比人若对采购文件有疑问，</w:t>
      </w:r>
      <w:r>
        <w:rPr>
          <w:rFonts w:hint="eastAsia"/>
          <w:lang w:val="en-US" w:eastAsia="zh-CN"/>
        </w:rPr>
        <w:t>有最多两次提出疑议机会，</w:t>
      </w:r>
      <w:r>
        <w:rPr>
          <w:rFonts w:hint="eastAsia"/>
        </w:rPr>
        <w:t>在参比截止时间前2日，按询比须知载明的地址以书面形式（包括书面、传真、电子邮件下同）通知到采购人。采购人将视情况确定采用适当方式予以澄清或以书面形式予以答复，澄清文件作为采购文件的组成部分，具有约束作用。</w:t>
      </w:r>
    </w:p>
    <w:p w14:paraId="319F889D">
      <w:pPr>
        <w:pStyle w:val="17"/>
        <w:spacing w:before="75" w:beforeAutospacing="0" w:after="75" w:afterAutospacing="0" w:line="400" w:lineRule="exact"/>
        <w:ind w:left="420" w:leftChars="200"/>
        <w:jc w:val="both"/>
        <w:textAlignment w:val="baseline"/>
        <w:rPr>
          <w:rFonts w:hint="eastAsia"/>
        </w:rPr>
      </w:pPr>
      <w:r>
        <w:rPr>
          <w:rFonts w:hint="eastAsia"/>
        </w:rPr>
        <w:t>5.3 采购文件的修改、补充</w:t>
      </w:r>
    </w:p>
    <w:p w14:paraId="5048BD7C">
      <w:pPr>
        <w:pStyle w:val="17"/>
        <w:spacing w:before="75" w:beforeAutospacing="0" w:after="75" w:afterAutospacing="0" w:line="400" w:lineRule="exact"/>
        <w:ind w:firstLine="480" w:firstLineChars="200"/>
        <w:jc w:val="both"/>
        <w:textAlignment w:val="baseline"/>
        <w:rPr>
          <w:rFonts w:hint="eastAsia"/>
        </w:rPr>
      </w:pPr>
      <w:r>
        <w:rPr>
          <w:rFonts w:hint="eastAsia"/>
        </w:rPr>
        <w:t>（1）在参比截止日期前，采购人可主动地或依据参比人要求澄清的问题而修改采购文件，并以书面形式通知所有报名参加询比项目的每一参比人，对方在收到该通知后应立即以书面形式予以确认；参比人未按规定时间予以确认或未按规定时间地点领取书面文件的，视比选通知已收到。</w:t>
      </w:r>
    </w:p>
    <w:p w14:paraId="119A1EB5">
      <w:pPr>
        <w:pStyle w:val="17"/>
        <w:spacing w:before="75" w:beforeAutospacing="0" w:after="75" w:afterAutospacing="0" w:line="400" w:lineRule="exact"/>
        <w:ind w:firstLine="480" w:firstLineChars="200"/>
        <w:jc w:val="both"/>
        <w:textAlignment w:val="baseline"/>
        <w:rPr>
          <w:rFonts w:hint="eastAsia"/>
        </w:rPr>
      </w:pPr>
      <w:r>
        <w:rPr>
          <w:rFonts w:hint="eastAsia"/>
        </w:rPr>
        <w:t>（2）为使参比人在准备参比文件时有合理的时间考虑采购文件的修改，采购人可酌情推迟参比选截止时间和开评时间，并以书面形式通知已获得采购文件的每一参比人。</w:t>
      </w:r>
    </w:p>
    <w:p w14:paraId="6098C55E">
      <w:pPr>
        <w:pStyle w:val="17"/>
        <w:spacing w:before="75" w:beforeAutospacing="0" w:after="75" w:afterAutospacing="0" w:line="400" w:lineRule="exact"/>
        <w:ind w:firstLine="480" w:firstLineChars="200"/>
        <w:jc w:val="both"/>
        <w:textAlignment w:val="baseline"/>
        <w:rPr>
          <w:rFonts w:hint="eastAsia"/>
        </w:rPr>
      </w:pPr>
      <w:r>
        <w:rPr>
          <w:rFonts w:hint="eastAsia"/>
        </w:rPr>
        <w:t>（3）采购文件的修改书将构成采购文件的一部分，对参比人具有约束作用。</w:t>
      </w:r>
    </w:p>
    <w:p w14:paraId="5FD88927">
      <w:pPr>
        <w:pStyle w:val="17"/>
        <w:spacing w:before="75" w:beforeAutospacing="0" w:after="75" w:afterAutospacing="0" w:line="400" w:lineRule="exact"/>
        <w:ind w:left="420" w:leftChars="200"/>
        <w:jc w:val="both"/>
        <w:textAlignment w:val="baseline"/>
        <w:rPr>
          <w:rFonts w:hint="eastAsia"/>
          <w:b/>
          <w:bCs/>
        </w:rPr>
      </w:pPr>
      <w:r>
        <w:rPr>
          <w:rFonts w:hint="eastAsia"/>
          <w:b/>
          <w:bCs/>
        </w:rPr>
        <w:t>6、参选</w:t>
      </w:r>
    </w:p>
    <w:p w14:paraId="11128D7D">
      <w:pPr>
        <w:pStyle w:val="17"/>
        <w:spacing w:before="75" w:beforeAutospacing="0" w:after="75" w:afterAutospacing="0" w:line="400" w:lineRule="exact"/>
        <w:ind w:firstLine="480" w:firstLineChars="200"/>
        <w:jc w:val="both"/>
        <w:textAlignment w:val="baseline"/>
        <w:rPr>
          <w:rFonts w:hint="eastAsia"/>
        </w:rPr>
      </w:pPr>
      <w:r>
        <w:rPr>
          <w:rFonts w:hint="eastAsia"/>
        </w:rPr>
        <w:t>6.1单位负责人为同一人或存在直接控股、管理关系的不同参选人，不得同时参加同一合同项下的比选，否则</w:t>
      </w:r>
      <w:r>
        <w:rPr>
          <w:rStyle w:val="23"/>
          <w:rFonts w:hint="eastAsia" w:ascii="宋体" w:hAnsi="宋体" w:cs="宋体"/>
        </w:rPr>
        <w:t>其</w:t>
      </w:r>
      <w:r>
        <w:rPr>
          <w:rFonts w:hint="eastAsia"/>
          <w:b/>
          <w:bCs/>
        </w:rPr>
        <w:t>参选</w:t>
      </w:r>
      <w:r>
        <w:rPr>
          <w:rStyle w:val="23"/>
          <w:rFonts w:hint="eastAsia" w:ascii="宋体" w:hAnsi="宋体" w:cs="宋体"/>
        </w:rPr>
        <w:t>无效</w:t>
      </w:r>
      <w:r>
        <w:rPr>
          <w:rFonts w:hint="eastAsia"/>
        </w:rPr>
        <w:t>。</w:t>
      </w:r>
    </w:p>
    <w:p w14:paraId="0FCAB29B">
      <w:pPr>
        <w:pStyle w:val="17"/>
        <w:spacing w:before="75" w:beforeAutospacing="0" w:after="75" w:afterAutospacing="0" w:line="400" w:lineRule="exact"/>
        <w:ind w:firstLine="480" w:firstLineChars="200"/>
        <w:jc w:val="both"/>
        <w:textAlignment w:val="baseline"/>
        <w:rPr>
          <w:rFonts w:hint="eastAsia"/>
        </w:rPr>
      </w:pPr>
      <w:r>
        <w:rPr>
          <w:rFonts w:hint="eastAsia"/>
        </w:rPr>
        <w:t>6.2为本项目提供整体设计、规范编制或项目管理、监理、检测等服务的参选人，不得参加本项目除整体设计、规范编制和项目管理、监理、检测等服务外的比选活动，否则其</w:t>
      </w:r>
      <w:r>
        <w:rPr>
          <w:rFonts w:hint="eastAsia"/>
          <w:b/>
          <w:bCs/>
        </w:rPr>
        <w:t>参选</w:t>
      </w:r>
      <w:r>
        <w:rPr>
          <w:rStyle w:val="23"/>
          <w:rFonts w:hint="eastAsia" w:ascii="宋体" w:hAnsi="宋体" w:cs="宋体"/>
        </w:rPr>
        <w:t>无效</w:t>
      </w:r>
      <w:r>
        <w:rPr>
          <w:rFonts w:hint="eastAsia"/>
        </w:rPr>
        <w:t>。</w:t>
      </w:r>
    </w:p>
    <w:p w14:paraId="6E328EA4">
      <w:pPr>
        <w:pStyle w:val="17"/>
        <w:spacing w:before="75" w:beforeAutospacing="0" w:after="75" w:afterAutospacing="0" w:line="400" w:lineRule="exact"/>
        <w:ind w:firstLine="480" w:firstLineChars="200"/>
        <w:jc w:val="both"/>
        <w:textAlignment w:val="baseline"/>
        <w:rPr>
          <w:rFonts w:hint="eastAsia"/>
        </w:rPr>
      </w:pPr>
      <w:r>
        <w:rPr>
          <w:rFonts w:hint="eastAsia"/>
        </w:rPr>
        <w:t>6.3列入失信被执行人、重大税收违法案件当事人名单、政府采购严重违法失信行为记录名单及其他不符合规定条件的参选人，不得参加比选，否则</w:t>
      </w:r>
      <w:r>
        <w:rPr>
          <w:rStyle w:val="23"/>
          <w:rFonts w:hint="eastAsia" w:ascii="宋体" w:hAnsi="宋体" w:cs="宋体"/>
        </w:rPr>
        <w:t>其</w:t>
      </w:r>
      <w:r>
        <w:rPr>
          <w:rFonts w:hint="eastAsia"/>
          <w:b/>
          <w:bCs/>
        </w:rPr>
        <w:t>参选</w:t>
      </w:r>
      <w:r>
        <w:rPr>
          <w:rStyle w:val="23"/>
          <w:rFonts w:hint="eastAsia" w:ascii="宋体" w:hAnsi="宋体" w:cs="宋体"/>
        </w:rPr>
        <w:t>无效</w:t>
      </w:r>
      <w:r>
        <w:rPr>
          <w:rFonts w:hint="eastAsia"/>
        </w:rPr>
        <w:t>。</w:t>
      </w:r>
    </w:p>
    <w:p w14:paraId="24971B79">
      <w:pPr>
        <w:pStyle w:val="17"/>
        <w:spacing w:before="75" w:beforeAutospacing="0" w:after="75" w:afterAutospacing="0" w:line="400" w:lineRule="exact"/>
        <w:ind w:left="420" w:leftChars="200"/>
        <w:jc w:val="both"/>
        <w:textAlignment w:val="baseline"/>
        <w:rPr>
          <w:rFonts w:hint="eastAsia"/>
        </w:rPr>
      </w:pPr>
      <w:r>
        <w:rPr>
          <w:rFonts w:hint="eastAsia"/>
        </w:rPr>
        <w:t>6.4有下列情形之一的，视为参选人串通，</w:t>
      </w:r>
      <w:r>
        <w:rPr>
          <w:rStyle w:val="23"/>
          <w:rFonts w:hint="eastAsia" w:ascii="宋体" w:hAnsi="宋体" w:cs="宋体"/>
        </w:rPr>
        <w:t>其</w:t>
      </w:r>
      <w:r>
        <w:rPr>
          <w:rFonts w:hint="eastAsia"/>
          <w:b/>
          <w:bCs/>
        </w:rPr>
        <w:t>参选</w:t>
      </w:r>
      <w:r>
        <w:rPr>
          <w:rStyle w:val="23"/>
          <w:rFonts w:hint="eastAsia" w:ascii="宋体" w:hAnsi="宋体" w:cs="宋体"/>
        </w:rPr>
        <w:t>无效：</w:t>
      </w:r>
    </w:p>
    <w:p w14:paraId="5405A807">
      <w:pPr>
        <w:pStyle w:val="17"/>
        <w:spacing w:before="75" w:beforeAutospacing="0" w:after="75" w:afterAutospacing="0" w:line="400" w:lineRule="exact"/>
        <w:ind w:left="420" w:leftChars="200"/>
        <w:jc w:val="both"/>
        <w:textAlignment w:val="baseline"/>
        <w:rPr>
          <w:rFonts w:hint="eastAsia"/>
        </w:rPr>
      </w:pPr>
      <w:r>
        <w:rPr>
          <w:rFonts w:hint="eastAsia"/>
        </w:rPr>
        <w:t>（1）不同参选人的参选文件由同一单位或个人编制；</w:t>
      </w:r>
    </w:p>
    <w:p w14:paraId="780C01C9">
      <w:pPr>
        <w:pStyle w:val="17"/>
        <w:spacing w:before="75" w:beforeAutospacing="0" w:after="75" w:afterAutospacing="0" w:line="400" w:lineRule="exact"/>
        <w:ind w:left="420" w:leftChars="200"/>
        <w:jc w:val="both"/>
        <w:textAlignment w:val="baseline"/>
        <w:rPr>
          <w:rFonts w:hint="eastAsia"/>
        </w:rPr>
      </w:pPr>
      <w:r>
        <w:rPr>
          <w:rFonts w:hint="eastAsia"/>
        </w:rPr>
        <w:t>（2）不同参选人委托同一单位或个人办理比选事宜；</w:t>
      </w:r>
    </w:p>
    <w:p w14:paraId="7FAD75C6">
      <w:pPr>
        <w:pStyle w:val="17"/>
        <w:spacing w:before="75" w:beforeAutospacing="0" w:after="75" w:afterAutospacing="0" w:line="400" w:lineRule="exact"/>
        <w:ind w:left="420" w:leftChars="200"/>
        <w:jc w:val="both"/>
        <w:textAlignment w:val="baseline"/>
        <w:rPr>
          <w:rFonts w:hint="eastAsia"/>
        </w:rPr>
      </w:pPr>
      <w:r>
        <w:rPr>
          <w:rFonts w:hint="eastAsia"/>
        </w:rPr>
        <w:t>（3）不同参选人的参选文件载明的项目管理成员或联系人员为同一人；</w:t>
      </w:r>
    </w:p>
    <w:p w14:paraId="3C8C3394">
      <w:pPr>
        <w:pStyle w:val="17"/>
        <w:spacing w:before="75" w:beforeAutospacing="0" w:after="75" w:afterAutospacing="0" w:line="400" w:lineRule="exact"/>
        <w:ind w:left="420" w:leftChars="200"/>
        <w:jc w:val="both"/>
        <w:textAlignment w:val="baseline"/>
        <w:rPr>
          <w:rFonts w:hint="eastAsia"/>
        </w:rPr>
      </w:pPr>
      <w:r>
        <w:rPr>
          <w:rFonts w:hint="eastAsia"/>
        </w:rPr>
        <w:t>（4）不同参选人的参选文件异常一致或报价呈规律性差异；</w:t>
      </w:r>
    </w:p>
    <w:p w14:paraId="69A377F9">
      <w:pPr>
        <w:pStyle w:val="17"/>
        <w:spacing w:before="75" w:beforeAutospacing="0" w:after="75" w:afterAutospacing="0" w:line="400" w:lineRule="exact"/>
        <w:ind w:left="420" w:leftChars="200"/>
        <w:jc w:val="both"/>
        <w:textAlignment w:val="baseline"/>
        <w:rPr>
          <w:rFonts w:hint="eastAsia"/>
        </w:rPr>
      </w:pPr>
      <w:r>
        <w:rPr>
          <w:rFonts w:hint="eastAsia"/>
        </w:rPr>
        <w:t>（5）不同参选人的参选文件相互混装；</w:t>
      </w:r>
    </w:p>
    <w:p w14:paraId="3F3E890A">
      <w:pPr>
        <w:pStyle w:val="17"/>
        <w:spacing w:before="75" w:beforeAutospacing="0" w:after="75" w:afterAutospacing="0" w:line="400" w:lineRule="exact"/>
        <w:ind w:left="420" w:leftChars="200"/>
        <w:jc w:val="both"/>
        <w:textAlignment w:val="baseline"/>
        <w:rPr>
          <w:rFonts w:hint="eastAsia"/>
        </w:rPr>
      </w:pPr>
      <w:r>
        <w:rPr>
          <w:rFonts w:hint="eastAsia"/>
        </w:rPr>
        <w:t>（6）有关法律、法规和规章及比选文件规定的其他串通情形。</w:t>
      </w:r>
    </w:p>
    <w:p w14:paraId="5D1C0897">
      <w:pPr>
        <w:pStyle w:val="17"/>
        <w:spacing w:before="75" w:beforeAutospacing="0" w:after="75" w:afterAutospacing="0" w:line="400" w:lineRule="exact"/>
        <w:ind w:left="420" w:leftChars="200"/>
        <w:jc w:val="both"/>
        <w:textAlignment w:val="baseline"/>
        <w:rPr>
          <w:rFonts w:hint="eastAsia"/>
          <w:b/>
          <w:bCs/>
        </w:rPr>
      </w:pPr>
      <w:r>
        <w:rPr>
          <w:rFonts w:hint="eastAsia"/>
          <w:b/>
          <w:bCs/>
        </w:rPr>
        <w:t>7、参选文件</w:t>
      </w:r>
    </w:p>
    <w:p w14:paraId="17827F65">
      <w:pPr>
        <w:pStyle w:val="17"/>
        <w:spacing w:before="75" w:beforeAutospacing="0" w:after="75" w:afterAutospacing="0" w:line="400" w:lineRule="exact"/>
        <w:ind w:left="420" w:leftChars="200"/>
        <w:jc w:val="both"/>
        <w:textAlignment w:val="baseline"/>
        <w:rPr>
          <w:rFonts w:hint="eastAsia"/>
        </w:rPr>
      </w:pPr>
      <w:r>
        <w:rPr>
          <w:rFonts w:hint="eastAsia"/>
        </w:rPr>
        <w:t>7.1参选文件的编制</w:t>
      </w:r>
    </w:p>
    <w:p w14:paraId="045E06CF">
      <w:pPr>
        <w:pStyle w:val="17"/>
        <w:spacing w:before="75" w:beforeAutospacing="0" w:after="75" w:afterAutospacing="0" w:line="400" w:lineRule="exact"/>
        <w:ind w:left="420" w:leftChars="200"/>
        <w:jc w:val="both"/>
        <w:textAlignment w:val="baseline"/>
        <w:rPr>
          <w:rFonts w:hint="eastAsia"/>
        </w:rPr>
      </w:pPr>
      <w:r>
        <w:rPr>
          <w:rFonts w:hint="eastAsia"/>
        </w:rPr>
        <w:t>（1）参选人应先仔细阅读比选文件的全部内容后，再进行参选文件的编制。</w:t>
      </w:r>
    </w:p>
    <w:p w14:paraId="2637E0C2">
      <w:pPr>
        <w:pStyle w:val="17"/>
        <w:spacing w:before="75" w:beforeAutospacing="0" w:after="75" w:afterAutospacing="0" w:line="400" w:lineRule="exact"/>
        <w:ind w:left="420" w:leftChars="200"/>
        <w:jc w:val="both"/>
        <w:textAlignment w:val="baseline"/>
        <w:rPr>
          <w:rFonts w:hint="eastAsia"/>
        </w:rPr>
      </w:pPr>
      <w:r>
        <w:rPr>
          <w:rFonts w:hint="eastAsia"/>
        </w:rPr>
        <w:t>（2）参选文件应按照本章第</w:t>
      </w:r>
      <w:r>
        <w:rPr>
          <w:rFonts w:hint="eastAsia"/>
          <w:lang w:val="en-US" w:eastAsia="zh-CN"/>
        </w:rPr>
        <w:t>7</w:t>
      </w:r>
      <w:r>
        <w:rPr>
          <w:rFonts w:hint="eastAsia"/>
        </w:rPr>
        <w:t>.2条规定编制其组成部分。</w:t>
      </w:r>
    </w:p>
    <w:p w14:paraId="48B636BC">
      <w:pPr>
        <w:pStyle w:val="17"/>
        <w:spacing w:before="75" w:beforeAutospacing="0" w:after="75" w:afterAutospacing="0" w:line="400" w:lineRule="exact"/>
        <w:ind w:firstLine="480" w:firstLineChars="200"/>
        <w:jc w:val="both"/>
        <w:textAlignment w:val="baseline"/>
        <w:rPr>
          <w:rFonts w:hint="eastAsia"/>
        </w:rPr>
      </w:pPr>
      <w:r>
        <w:rPr>
          <w:rFonts w:hint="eastAsia"/>
        </w:rPr>
        <w:t>（3）参选文件应满足比选文件提出的实质性要求和条件，并保证其所提交的全部资料是不可割离且真实、有效、准确、完整和不具有任何误导性的，否则造成不利后果由参选人承担责任。</w:t>
      </w:r>
    </w:p>
    <w:p w14:paraId="115EB659">
      <w:pPr>
        <w:pStyle w:val="17"/>
        <w:spacing w:before="75" w:beforeAutospacing="0" w:after="75" w:afterAutospacing="0" w:line="400" w:lineRule="exact"/>
        <w:ind w:left="420" w:leftChars="200"/>
        <w:jc w:val="both"/>
        <w:textAlignment w:val="baseline"/>
        <w:rPr>
          <w:rFonts w:hint="eastAsia"/>
        </w:rPr>
      </w:pPr>
      <w:r>
        <w:rPr>
          <w:rFonts w:hint="eastAsia"/>
        </w:rPr>
        <w:t>7.2参选文件由下述部分组成：</w:t>
      </w:r>
    </w:p>
    <w:p w14:paraId="798624F5">
      <w:pPr>
        <w:pStyle w:val="17"/>
        <w:spacing w:before="75" w:beforeAutospacing="0" w:after="75" w:afterAutospacing="0" w:line="400" w:lineRule="exact"/>
        <w:ind w:firstLine="480"/>
        <w:jc w:val="both"/>
        <w:textAlignment w:val="baseline"/>
        <w:rPr>
          <w:rFonts w:hint="eastAsia"/>
        </w:rPr>
      </w:pPr>
      <w:r>
        <w:rPr>
          <w:rFonts w:hint="eastAsia"/>
        </w:rPr>
        <w:t>（1）比选一览表</w:t>
      </w:r>
    </w:p>
    <w:p w14:paraId="2A44C6C9">
      <w:pPr>
        <w:pStyle w:val="17"/>
        <w:spacing w:before="75" w:beforeAutospacing="0" w:after="75" w:afterAutospacing="0" w:line="400" w:lineRule="exact"/>
        <w:ind w:firstLine="480"/>
        <w:jc w:val="both"/>
        <w:textAlignment w:val="baseline"/>
        <w:rPr>
          <w:rFonts w:hint="eastAsia"/>
        </w:rPr>
      </w:pPr>
      <w:r>
        <w:rPr>
          <w:rFonts w:hint="eastAsia"/>
        </w:rPr>
        <w:t>（2）参选书</w:t>
      </w:r>
    </w:p>
    <w:p w14:paraId="2B8AE98F">
      <w:pPr>
        <w:pStyle w:val="17"/>
        <w:spacing w:before="75" w:beforeAutospacing="0" w:after="75" w:afterAutospacing="0" w:line="400" w:lineRule="exact"/>
        <w:ind w:firstLine="480"/>
        <w:jc w:val="both"/>
        <w:textAlignment w:val="baseline"/>
        <w:rPr>
          <w:rFonts w:hint="eastAsia"/>
        </w:rPr>
      </w:pPr>
      <w:r>
        <w:rPr>
          <w:rFonts w:hint="eastAsia"/>
        </w:rPr>
        <w:t>（3）法定代表人授权书</w:t>
      </w:r>
    </w:p>
    <w:p w14:paraId="0B2ED2F1">
      <w:pPr>
        <w:pStyle w:val="17"/>
        <w:spacing w:before="75" w:beforeAutospacing="0" w:after="75" w:afterAutospacing="0" w:line="400" w:lineRule="exact"/>
        <w:ind w:firstLine="480"/>
        <w:jc w:val="both"/>
        <w:textAlignment w:val="baseline"/>
        <w:rPr>
          <w:rFonts w:hint="eastAsia"/>
        </w:rPr>
      </w:pPr>
      <w:r>
        <w:rPr>
          <w:rFonts w:hint="eastAsia"/>
        </w:rPr>
        <w:t>（4）企业概况</w:t>
      </w:r>
    </w:p>
    <w:p w14:paraId="1E5F1FAD">
      <w:pPr>
        <w:pStyle w:val="17"/>
        <w:spacing w:before="75" w:beforeAutospacing="0" w:after="75" w:afterAutospacing="0" w:line="400" w:lineRule="exact"/>
        <w:ind w:firstLine="480"/>
        <w:jc w:val="both"/>
        <w:textAlignment w:val="baseline"/>
        <w:rPr>
          <w:rFonts w:hint="eastAsia"/>
        </w:rPr>
      </w:pPr>
      <w:r>
        <w:rPr>
          <w:rFonts w:hint="eastAsia"/>
        </w:rPr>
        <w:t>（5）商务报价函</w:t>
      </w:r>
    </w:p>
    <w:p w14:paraId="424EE532">
      <w:pPr>
        <w:pStyle w:val="17"/>
        <w:spacing w:before="75" w:beforeAutospacing="0" w:after="75" w:afterAutospacing="0" w:line="400" w:lineRule="exact"/>
        <w:ind w:firstLine="480"/>
        <w:jc w:val="both"/>
        <w:textAlignment w:val="baseline"/>
        <w:rPr>
          <w:rFonts w:hint="eastAsia"/>
        </w:rPr>
      </w:pPr>
      <w:r>
        <w:rPr>
          <w:rFonts w:hint="eastAsia"/>
        </w:rPr>
        <w:t>（6）专家名单</w:t>
      </w:r>
    </w:p>
    <w:p w14:paraId="67BB9597">
      <w:pPr>
        <w:pStyle w:val="17"/>
        <w:spacing w:before="75" w:beforeAutospacing="0" w:after="75" w:afterAutospacing="0" w:line="400" w:lineRule="exact"/>
        <w:ind w:firstLine="480"/>
        <w:jc w:val="both"/>
        <w:textAlignment w:val="baseline"/>
        <w:rPr>
          <w:rFonts w:hint="eastAsia"/>
        </w:rPr>
      </w:pPr>
      <w:r>
        <w:rPr>
          <w:rFonts w:hint="eastAsia"/>
        </w:rPr>
        <w:t>（7）服务方案</w:t>
      </w:r>
    </w:p>
    <w:p w14:paraId="2266A74F">
      <w:pPr>
        <w:pStyle w:val="17"/>
        <w:spacing w:before="75" w:beforeAutospacing="0" w:after="75" w:afterAutospacing="0" w:line="400" w:lineRule="exact"/>
        <w:ind w:firstLine="480"/>
        <w:jc w:val="both"/>
        <w:textAlignment w:val="baseline"/>
        <w:rPr>
          <w:rFonts w:hint="eastAsia"/>
        </w:rPr>
      </w:pPr>
      <w:r>
        <w:rPr>
          <w:rFonts w:hint="eastAsia"/>
        </w:rPr>
        <w:t>（8）其他证明相关资料</w:t>
      </w:r>
    </w:p>
    <w:p w14:paraId="572D594A">
      <w:pPr>
        <w:pStyle w:val="17"/>
        <w:spacing w:before="75" w:beforeAutospacing="0" w:after="75" w:afterAutospacing="0" w:line="400" w:lineRule="exact"/>
        <w:ind w:firstLine="480"/>
        <w:jc w:val="both"/>
        <w:textAlignment w:val="baseline"/>
        <w:rPr>
          <w:rFonts w:hint="eastAsia"/>
          <w:b/>
        </w:rPr>
      </w:pPr>
      <w:r>
        <w:t>以上</w:t>
      </w:r>
      <w:r>
        <w:rPr>
          <w:rFonts w:hint="eastAsia"/>
        </w:rPr>
        <w:t>各</w:t>
      </w:r>
      <w:r>
        <w:t>项内容</w:t>
      </w:r>
      <w:r>
        <w:rPr>
          <w:rFonts w:hint="eastAsia"/>
          <w:b/>
          <w:bCs/>
        </w:rPr>
        <w:t>装订成册</w:t>
      </w:r>
      <w:r>
        <w:t>密封并加盖公章</w:t>
      </w:r>
      <w:r>
        <w:rPr>
          <w:rFonts w:hint="eastAsia"/>
        </w:rPr>
        <w:t>（一正两副）</w:t>
      </w:r>
      <w:r>
        <w:t>。</w:t>
      </w:r>
      <w:r>
        <w:rPr>
          <w:rFonts w:hint="eastAsia"/>
        </w:rPr>
        <w:t>即</w:t>
      </w:r>
      <w:r>
        <w:rPr>
          <w:rFonts w:hint="eastAsia"/>
          <w:b/>
          <w:u w:val="double"/>
        </w:rPr>
        <w:t>参选文件正本及副本密封在一个信封</w:t>
      </w:r>
      <w:r>
        <w:rPr>
          <w:rFonts w:hint="eastAsia"/>
        </w:rPr>
        <w:t>，并标明比选编号、参选名称及正本或副本。信封上注明“</w:t>
      </w:r>
      <w:r>
        <w:rPr>
          <w:rFonts w:hint="eastAsia"/>
          <w:color w:val="FF0000"/>
        </w:rPr>
        <w:t>于</w:t>
      </w:r>
      <w:r>
        <w:rPr>
          <w:rFonts w:hint="eastAsia"/>
          <w:color w:val="FF0000"/>
          <w:lang w:val="en-US" w:eastAsia="zh-CN"/>
        </w:rPr>
        <w:t>2025</w:t>
      </w:r>
      <w:r>
        <w:rPr>
          <w:rFonts w:hint="eastAsia"/>
          <w:color w:val="FF0000"/>
        </w:rPr>
        <w:t>年</w:t>
      </w:r>
      <w:r>
        <w:rPr>
          <w:rFonts w:hint="eastAsia"/>
          <w:color w:val="FF0000"/>
          <w:lang w:val="en-US" w:eastAsia="zh-CN"/>
        </w:rPr>
        <w:t>10</w:t>
      </w:r>
      <w:r>
        <w:rPr>
          <w:rFonts w:hint="eastAsia"/>
          <w:color w:val="FF0000"/>
        </w:rPr>
        <w:t>月</w:t>
      </w:r>
      <w:r>
        <w:rPr>
          <w:rFonts w:hint="eastAsia"/>
          <w:color w:val="FF0000"/>
          <w:lang w:val="en-US" w:eastAsia="zh-CN"/>
        </w:rPr>
        <w:t>13</w:t>
      </w:r>
      <w:r>
        <w:rPr>
          <w:rFonts w:hint="eastAsia"/>
          <w:color w:val="FF0000"/>
        </w:rPr>
        <w:t>日</w:t>
      </w:r>
      <w:r>
        <w:rPr>
          <w:rFonts w:hint="eastAsia"/>
          <w:color w:val="FF0000"/>
          <w:lang w:val="en-US" w:eastAsia="zh-CN"/>
        </w:rPr>
        <w:t>12</w:t>
      </w:r>
      <w:r>
        <w:rPr>
          <w:rFonts w:hint="eastAsia"/>
          <w:color w:val="FF0000"/>
        </w:rPr>
        <w:t>时之前</w:t>
      </w:r>
      <w:r>
        <w:rPr>
          <w:rFonts w:hint="eastAsia"/>
        </w:rPr>
        <w:t>（指参选规定的开标日期及时间）不准启封”的字样。</w:t>
      </w:r>
    </w:p>
    <w:p w14:paraId="01C752B0">
      <w:pPr>
        <w:pStyle w:val="2"/>
        <w:spacing w:line="360" w:lineRule="auto"/>
        <w:ind w:firstLine="482" w:firstLineChars="200"/>
        <w:rPr>
          <w:rFonts w:hint="eastAsia" w:asciiTheme="minorEastAsia" w:hAnsiTheme="minorEastAsia" w:eastAsiaTheme="minorEastAsia"/>
          <w:sz w:val="24"/>
        </w:rPr>
      </w:pPr>
      <w:r>
        <w:rPr>
          <w:rFonts w:hint="eastAsia" w:asciiTheme="minorEastAsia" w:hAnsiTheme="minorEastAsia" w:eastAsiaTheme="minorEastAsia"/>
          <w:b/>
          <w:sz w:val="24"/>
        </w:rPr>
        <w:t>注：需提供参选文件及报价表电子版U盘一份（盖章</w:t>
      </w:r>
      <w:r>
        <w:rPr>
          <w:rFonts w:asciiTheme="minorEastAsia" w:hAnsiTheme="minorEastAsia" w:eastAsiaTheme="minorEastAsia"/>
          <w:b/>
          <w:sz w:val="24"/>
        </w:rPr>
        <w:t>PDF</w:t>
      </w:r>
      <w:r>
        <w:rPr>
          <w:rFonts w:hint="eastAsia" w:asciiTheme="minorEastAsia" w:hAnsiTheme="minorEastAsia" w:eastAsiaTheme="minorEastAsia"/>
          <w:b/>
          <w:sz w:val="24"/>
        </w:rPr>
        <w:t>版）。</w:t>
      </w:r>
    </w:p>
    <w:p w14:paraId="56BBE581">
      <w:pPr>
        <w:pStyle w:val="17"/>
        <w:spacing w:before="75" w:beforeAutospacing="0" w:after="75" w:afterAutospacing="0" w:line="400" w:lineRule="exact"/>
        <w:ind w:left="420" w:leftChars="200"/>
        <w:jc w:val="both"/>
        <w:textAlignment w:val="baseline"/>
        <w:rPr>
          <w:rFonts w:hint="eastAsia"/>
        </w:rPr>
      </w:pPr>
      <w:r>
        <w:rPr>
          <w:rFonts w:hint="eastAsia"/>
        </w:rPr>
        <w:t>7.3参选文件的语言</w:t>
      </w:r>
    </w:p>
    <w:p w14:paraId="01606F38">
      <w:pPr>
        <w:pStyle w:val="17"/>
        <w:spacing w:before="75" w:beforeAutospacing="0" w:after="75" w:afterAutospacing="0" w:line="400" w:lineRule="exact"/>
        <w:ind w:left="420" w:leftChars="200"/>
        <w:jc w:val="both"/>
        <w:textAlignment w:val="baseline"/>
        <w:rPr>
          <w:rFonts w:hint="eastAsia"/>
        </w:rPr>
      </w:pPr>
      <w:r>
        <w:rPr>
          <w:rFonts w:hint="eastAsia"/>
        </w:rPr>
        <w:t>（1）除</w:t>
      </w:r>
      <w:r>
        <w:rPr>
          <w:rFonts w:hint="eastAsia"/>
          <w:lang w:val="en-US" w:eastAsia="zh-CN"/>
        </w:rPr>
        <w:t>采购</w:t>
      </w:r>
      <w:r>
        <w:rPr>
          <w:rFonts w:hint="eastAsia"/>
        </w:rPr>
        <w:t>文件另有规定外，参选文件应使用中文文本，若有不同文本，以中文文本为准。</w:t>
      </w:r>
    </w:p>
    <w:p w14:paraId="6B976A4B">
      <w:pPr>
        <w:pStyle w:val="17"/>
        <w:spacing w:before="75" w:beforeAutospacing="0" w:after="75" w:afterAutospacing="0" w:line="400" w:lineRule="exact"/>
        <w:ind w:firstLine="420" w:firstLineChars="175"/>
        <w:jc w:val="both"/>
        <w:textAlignment w:val="baseline"/>
        <w:rPr>
          <w:rFonts w:hint="eastAsia"/>
        </w:rPr>
      </w:pPr>
      <w:r>
        <w:rPr>
          <w:rFonts w:hint="eastAsia"/>
        </w:rPr>
        <w:t>（2）参选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AD5ACDE">
      <w:pPr>
        <w:pStyle w:val="17"/>
        <w:spacing w:before="75" w:beforeAutospacing="0" w:after="75" w:afterAutospacing="0" w:line="400" w:lineRule="exact"/>
        <w:ind w:left="420" w:leftChars="200"/>
        <w:jc w:val="both"/>
        <w:textAlignment w:val="baseline"/>
        <w:rPr>
          <w:rFonts w:hint="eastAsia"/>
        </w:rPr>
      </w:pPr>
      <w:r>
        <w:rPr>
          <w:rFonts w:hint="eastAsia"/>
        </w:rPr>
        <w:t>7.4参选报价</w:t>
      </w:r>
    </w:p>
    <w:p w14:paraId="62559C22">
      <w:pPr>
        <w:pStyle w:val="17"/>
        <w:spacing w:before="75" w:beforeAutospacing="0" w:after="75" w:afterAutospacing="0" w:line="400" w:lineRule="exact"/>
        <w:ind w:firstLine="480" w:firstLineChars="200"/>
        <w:jc w:val="both"/>
        <w:textAlignment w:val="baseline"/>
        <w:rPr>
          <w:rFonts w:hint="eastAsia"/>
          <w:b/>
          <w:bCs/>
        </w:rPr>
      </w:pPr>
      <w:r>
        <w:rPr>
          <w:rFonts w:hint="eastAsia"/>
        </w:rPr>
        <w:t>（1）本项目最高限价为</w:t>
      </w:r>
      <w:r>
        <w:rPr>
          <w:rFonts w:hint="eastAsia"/>
          <w:b/>
          <w:bCs/>
          <w:u w:val="single"/>
        </w:rPr>
        <w:t>人民币200000.00元（含税价）</w:t>
      </w:r>
      <w:r>
        <w:rPr>
          <w:rFonts w:hint="eastAsia"/>
        </w:rPr>
        <w:t>。</w:t>
      </w:r>
      <w:r>
        <w:rPr>
          <w:rFonts w:hint="eastAsia"/>
          <w:b/>
          <w:bCs/>
        </w:rPr>
        <w:t>参选含税报价超出项目最高限价将视为</w:t>
      </w:r>
      <w:r>
        <w:rPr>
          <w:rStyle w:val="23"/>
          <w:rFonts w:hint="eastAsia" w:ascii="宋体" w:hAnsi="宋体" w:cs="宋体"/>
        </w:rPr>
        <w:t>无效</w:t>
      </w:r>
      <w:r>
        <w:rPr>
          <w:rStyle w:val="23"/>
          <w:rFonts w:hint="eastAsia" w:cs="宋体"/>
        </w:rPr>
        <w:t>报价</w:t>
      </w:r>
      <w:r>
        <w:rPr>
          <w:rStyle w:val="23"/>
          <w:rFonts w:hint="eastAsia" w:ascii="宋体" w:hAnsi="宋体" w:cs="宋体"/>
        </w:rPr>
        <w:t>。</w:t>
      </w:r>
    </w:p>
    <w:p w14:paraId="0953BC3E">
      <w:pPr>
        <w:pStyle w:val="17"/>
        <w:spacing w:before="75" w:beforeAutospacing="0" w:after="75" w:afterAutospacing="0" w:line="400" w:lineRule="exact"/>
        <w:ind w:left="420" w:leftChars="200"/>
        <w:jc w:val="both"/>
        <w:textAlignment w:val="baseline"/>
        <w:rPr>
          <w:rFonts w:hint="eastAsia"/>
        </w:rPr>
      </w:pPr>
      <w:r>
        <w:rPr>
          <w:rFonts w:hint="eastAsia"/>
        </w:rPr>
        <w:t>（2）最高限价由比选人根据价格测算情况，在预算金额的额度内合理设定。</w:t>
      </w:r>
    </w:p>
    <w:p w14:paraId="6C693B9C">
      <w:pPr>
        <w:pStyle w:val="17"/>
        <w:spacing w:before="75" w:beforeAutospacing="0" w:after="75" w:afterAutospacing="0" w:line="400" w:lineRule="exact"/>
        <w:ind w:firstLine="420" w:firstLineChars="175"/>
        <w:jc w:val="both"/>
        <w:textAlignment w:val="baseline"/>
        <w:rPr>
          <w:rFonts w:hint="eastAsia"/>
        </w:rPr>
      </w:pPr>
      <w:r>
        <w:rPr>
          <w:rFonts w:hint="eastAsia"/>
        </w:rPr>
        <w:t>（3）除比选文件另有规定外，参选文件不能出现任何选择性的</w:t>
      </w:r>
      <w:r>
        <w:rPr>
          <w:rFonts w:hint="eastAsia"/>
          <w:b/>
          <w:bCs/>
        </w:rPr>
        <w:t>参选</w:t>
      </w:r>
      <w:r>
        <w:rPr>
          <w:rFonts w:hint="eastAsia"/>
        </w:rPr>
        <w:t>报价，即每一个合同包和品目号的比选标的都只能有一个</w:t>
      </w:r>
      <w:r>
        <w:rPr>
          <w:rFonts w:hint="eastAsia"/>
          <w:b/>
          <w:bCs/>
        </w:rPr>
        <w:t>参选</w:t>
      </w:r>
      <w:r>
        <w:rPr>
          <w:rFonts w:hint="eastAsia"/>
        </w:rPr>
        <w:t>报价。任何选择性的</w:t>
      </w:r>
      <w:r>
        <w:rPr>
          <w:rFonts w:hint="eastAsia"/>
          <w:b/>
          <w:bCs/>
        </w:rPr>
        <w:t>参选</w:t>
      </w:r>
      <w:r>
        <w:rPr>
          <w:rFonts w:hint="eastAsia"/>
        </w:rPr>
        <w:t>报价将导致</w:t>
      </w:r>
      <w:r>
        <w:rPr>
          <w:rFonts w:hint="eastAsia"/>
          <w:b/>
          <w:bCs/>
        </w:rPr>
        <w:t>参选</w:t>
      </w:r>
      <w:r>
        <w:rPr>
          <w:rStyle w:val="23"/>
          <w:rFonts w:hint="eastAsia" w:ascii="宋体" w:hAnsi="宋体" w:cs="宋体"/>
        </w:rPr>
        <w:t>无效。</w:t>
      </w:r>
    </w:p>
    <w:p w14:paraId="1C20CC81">
      <w:pPr>
        <w:pStyle w:val="17"/>
        <w:spacing w:before="75" w:beforeAutospacing="0" w:after="75" w:afterAutospacing="0" w:line="400" w:lineRule="exact"/>
        <w:ind w:left="420" w:leftChars="200"/>
        <w:jc w:val="both"/>
        <w:textAlignment w:val="baseline"/>
        <w:rPr>
          <w:rFonts w:hint="eastAsia"/>
        </w:rPr>
      </w:pPr>
      <w:r>
        <w:rPr>
          <w:rFonts w:hint="eastAsia"/>
        </w:rPr>
        <w:t>7.5参选有效期（详见第二章参选人须知前附表）</w:t>
      </w:r>
    </w:p>
    <w:p w14:paraId="31523C05">
      <w:pPr>
        <w:pStyle w:val="17"/>
        <w:spacing w:before="75" w:beforeAutospacing="0" w:after="75" w:afterAutospacing="0" w:line="400" w:lineRule="exact"/>
        <w:ind w:left="420" w:leftChars="200"/>
        <w:jc w:val="both"/>
        <w:textAlignment w:val="baseline"/>
        <w:rPr>
          <w:rFonts w:hint="eastAsia"/>
        </w:rPr>
      </w:pPr>
      <w:r>
        <w:rPr>
          <w:rFonts w:hint="eastAsia"/>
        </w:rPr>
        <w:t>7.6比选保证金</w:t>
      </w:r>
    </w:p>
    <w:p w14:paraId="3AD54669">
      <w:pPr>
        <w:pStyle w:val="17"/>
        <w:spacing w:before="75" w:beforeAutospacing="0" w:after="75" w:afterAutospacing="0" w:line="400" w:lineRule="exact"/>
        <w:ind w:left="420" w:leftChars="200"/>
        <w:jc w:val="both"/>
        <w:textAlignment w:val="baseline"/>
        <w:rPr>
          <w:rFonts w:hint="eastAsia"/>
        </w:rPr>
      </w:pPr>
      <w:r>
        <w:rPr>
          <w:rFonts w:hint="eastAsia"/>
        </w:rPr>
        <w:t>本项目无需比选保证金</w:t>
      </w:r>
    </w:p>
    <w:p w14:paraId="22FB05A2">
      <w:pPr>
        <w:pStyle w:val="17"/>
        <w:spacing w:before="75" w:beforeAutospacing="0" w:after="75" w:afterAutospacing="0" w:line="400" w:lineRule="exact"/>
        <w:ind w:left="420" w:leftChars="200"/>
        <w:jc w:val="both"/>
        <w:textAlignment w:val="baseline"/>
        <w:rPr>
          <w:rFonts w:hint="eastAsia"/>
        </w:rPr>
      </w:pPr>
      <w:r>
        <w:rPr>
          <w:rFonts w:hint="eastAsia"/>
        </w:rPr>
        <w:t>7.7参选文件的提交</w:t>
      </w:r>
    </w:p>
    <w:p w14:paraId="1313E960">
      <w:pPr>
        <w:pStyle w:val="17"/>
        <w:spacing w:before="75" w:beforeAutospacing="0" w:after="75" w:afterAutospacing="0" w:line="400" w:lineRule="exact"/>
        <w:ind w:firstLine="480"/>
        <w:jc w:val="both"/>
        <w:textAlignment w:val="baseline"/>
        <w:rPr>
          <w:rFonts w:hint="eastAsia"/>
        </w:rPr>
      </w:pPr>
      <w:r>
        <w:rPr>
          <w:rFonts w:hint="eastAsia"/>
        </w:rPr>
        <w:t>一个参选人只能提交一个参选文件，</w:t>
      </w:r>
      <w:r>
        <w:t>并按照</w:t>
      </w:r>
      <w:r>
        <w:rPr>
          <w:rFonts w:hint="eastAsia"/>
        </w:rPr>
        <w:t>比选</w:t>
      </w:r>
      <w:r>
        <w:t>文件</w:t>
      </w:r>
      <w:r>
        <w:rPr>
          <w:rFonts w:hint="eastAsia"/>
        </w:rPr>
        <w:t>要求递交。</w:t>
      </w:r>
    </w:p>
    <w:p w14:paraId="7DECD353">
      <w:pPr>
        <w:pStyle w:val="17"/>
        <w:spacing w:before="75" w:beforeAutospacing="0" w:after="75" w:afterAutospacing="0" w:line="400" w:lineRule="exact"/>
        <w:ind w:left="420" w:leftChars="200"/>
        <w:jc w:val="both"/>
        <w:textAlignment w:val="baseline"/>
        <w:rPr>
          <w:rFonts w:hint="eastAsia"/>
        </w:rPr>
      </w:pPr>
      <w:r>
        <w:rPr>
          <w:rFonts w:hint="eastAsia"/>
        </w:rPr>
        <w:t>7.8参选文件的补充、修改或撤回</w:t>
      </w:r>
    </w:p>
    <w:p w14:paraId="017413FD">
      <w:pPr>
        <w:pStyle w:val="17"/>
        <w:spacing w:before="75" w:beforeAutospacing="0" w:after="75" w:afterAutospacing="0" w:line="400" w:lineRule="exact"/>
        <w:ind w:firstLine="480"/>
        <w:jc w:val="both"/>
        <w:textAlignment w:val="baseline"/>
        <w:rPr>
          <w:rFonts w:hint="eastAsia"/>
        </w:rPr>
      </w:pPr>
      <w:r>
        <w:rPr>
          <w:rFonts w:hint="eastAsia"/>
        </w:rPr>
        <w:t>（1）比选截止时间前，参选人可对所提交的参选文件进行补充、修改或撤回，并需书面通知。</w:t>
      </w:r>
    </w:p>
    <w:p w14:paraId="5D2F75B3">
      <w:pPr>
        <w:pStyle w:val="29"/>
        <w:spacing w:line="360" w:lineRule="auto"/>
        <w:ind w:firstLine="482"/>
        <w:jc w:val="both"/>
        <w:rPr>
          <w:rFonts w:hint="default"/>
        </w:rPr>
      </w:pPr>
      <w:r>
        <w:rPr>
          <w:rFonts w:ascii="宋体" w:hAnsi="宋体" w:eastAsia="宋体" w:cs="宋体"/>
          <w:sz w:val="24"/>
          <w:szCs w:val="24"/>
          <w:lang w:eastAsia="zh-CN"/>
        </w:rPr>
        <w:t>（2）补充、修改的内容应按规定进行签署、盖章，并按照本章第7.7条规定提交，</w:t>
      </w:r>
      <w:r>
        <w:rPr>
          <w:rFonts w:ascii="宋体" w:hAnsi="宋体" w:eastAsia="宋体" w:cs="宋体"/>
          <w:b/>
          <w:bCs/>
          <w:sz w:val="24"/>
          <w:szCs w:val="24"/>
          <w:lang w:eastAsia="zh-CN"/>
        </w:rPr>
        <w:t>否则将被拒收。</w:t>
      </w:r>
    </w:p>
    <w:p w14:paraId="00C334FD">
      <w:pPr>
        <w:pStyle w:val="17"/>
        <w:spacing w:before="75" w:beforeAutospacing="0" w:after="75" w:afterAutospacing="0" w:line="360" w:lineRule="auto"/>
        <w:ind w:firstLine="482"/>
        <w:jc w:val="both"/>
        <w:textAlignment w:val="baseline"/>
        <w:rPr>
          <w:rFonts w:hint="eastAsia"/>
        </w:rPr>
      </w:pPr>
      <w:r>
        <w:rPr>
          <w:rStyle w:val="23"/>
          <w:rFonts w:hint="eastAsia" w:ascii="宋体" w:hAnsi="宋体" w:cs="宋体"/>
        </w:rPr>
        <w:t>※按照上述规定提交的补充、修改内容作为参选文件组成部分。</w:t>
      </w:r>
    </w:p>
    <w:p w14:paraId="5BD48E7F">
      <w:pPr>
        <w:pStyle w:val="17"/>
        <w:spacing w:before="75" w:beforeAutospacing="0" w:after="75" w:afterAutospacing="0" w:line="400" w:lineRule="exact"/>
        <w:ind w:left="420" w:leftChars="200"/>
        <w:jc w:val="both"/>
        <w:textAlignment w:val="baseline"/>
        <w:rPr>
          <w:rFonts w:hint="eastAsia"/>
        </w:rPr>
      </w:pPr>
      <w:r>
        <w:rPr>
          <w:rFonts w:hint="eastAsia"/>
        </w:rPr>
        <w:t>7.9除</w:t>
      </w:r>
      <w:r>
        <w:rPr>
          <w:rFonts w:hint="eastAsia"/>
          <w:lang w:val="en-US" w:eastAsia="zh-CN"/>
        </w:rPr>
        <w:t>采购</w:t>
      </w:r>
      <w:r>
        <w:rPr>
          <w:rFonts w:hint="eastAsia"/>
        </w:rPr>
        <w:t>文件另有规定外，有下列情形之一的，</w:t>
      </w:r>
      <w:r>
        <w:rPr>
          <w:rStyle w:val="23"/>
          <w:rFonts w:hint="eastAsia" w:ascii="宋体" w:hAnsi="宋体" w:cs="宋体"/>
        </w:rPr>
        <w:t>参选无效</w:t>
      </w:r>
      <w:r>
        <w:rPr>
          <w:rFonts w:hint="eastAsia"/>
        </w:rPr>
        <w:t>：</w:t>
      </w:r>
    </w:p>
    <w:p w14:paraId="046B8E03">
      <w:pPr>
        <w:pStyle w:val="17"/>
        <w:spacing w:before="75" w:beforeAutospacing="0" w:after="75" w:afterAutospacing="0" w:line="400" w:lineRule="exact"/>
        <w:ind w:firstLine="480"/>
        <w:jc w:val="both"/>
        <w:textAlignment w:val="baseline"/>
        <w:rPr>
          <w:rFonts w:hint="eastAsia"/>
        </w:rPr>
      </w:pPr>
      <w:r>
        <w:rPr>
          <w:rFonts w:hint="eastAsia"/>
        </w:rPr>
        <w:t>（1）参选文件未按照</w:t>
      </w:r>
      <w:r>
        <w:rPr>
          <w:rFonts w:hint="eastAsia"/>
          <w:lang w:val="en-US" w:eastAsia="zh-CN"/>
        </w:rPr>
        <w:t>采购</w:t>
      </w:r>
      <w:r>
        <w:rPr>
          <w:rFonts w:hint="eastAsia"/>
        </w:rPr>
        <w:t>文件要求签署、盖章；</w:t>
      </w:r>
    </w:p>
    <w:p w14:paraId="2D33A8F0">
      <w:pPr>
        <w:pStyle w:val="17"/>
        <w:spacing w:before="75" w:beforeAutospacing="0" w:after="75" w:afterAutospacing="0" w:line="400" w:lineRule="exact"/>
        <w:ind w:firstLine="480"/>
        <w:jc w:val="both"/>
        <w:textAlignment w:val="baseline"/>
        <w:rPr>
          <w:rFonts w:hint="eastAsia"/>
        </w:rPr>
      </w:pPr>
      <w:r>
        <w:rPr>
          <w:rFonts w:hint="eastAsia"/>
        </w:rPr>
        <w:t>（2）不符合</w:t>
      </w:r>
      <w:r>
        <w:rPr>
          <w:rFonts w:hint="eastAsia"/>
          <w:lang w:val="en-US" w:eastAsia="zh-CN"/>
        </w:rPr>
        <w:t>采购</w:t>
      </w:r>
      <w:r>
        <w:rPr>
          <w:rFonts w:hint="eastAsia"/>
        </w:rPr>
        <w:t>文件中规定的资格要求；</w:t>
      </w:r>
    </w:p>
    <w:p w14:paraId="31E4BA3B">
      <w:pPr>
        <w:pStyle w:val="17"/>
        <w:spacing w:before="75" w:beforeAutospacing="0" w:after="75" w:afterAutospacing="0" w:line="400" w:lineRule="exact"/>
        <w:ind w:firstLine="480"/>
        <w:jc w:val="both"/>
        <w:textAlignment w:val="baseline"/>
        <w:rPr>
          <w:rFonts w:hint="eastAsia"/>
        </w:rPr>
      </w:pPr>
      <w:r>
        <w:rPr>
          <w:rFonts w:hint="eastAsia"/>
        </w:rPr>
        <w:t>（3）</w:t>
      </w:r>
      <w:r>
        <w:rPr>
          <w:rFonts w:hint="eastAsia"/>
          <w:lang w:val="en-US" w:eastAsia="zh-CN"/>
        </w:rPr>
        <w:t>参</w:t>
      </w:r>
      <w:r>
        <w:rPr>
          <w:rFonts w:hint="eastAsia"/>
        </w:rPr>
        <w:t>选含税报价超过</w:t>
      </w:r>
      <w:r>
        <w:rPr>
          <w:rFonts w:hint="eastAsia"/>
          <w:lang w:val="en-US" w:eastAsia="zh-CN"/>
        </w:rPr>
        <w:t>采购</w:t>
      </w:r>
      <w:r>
        <w:rPr>
          <w:rFonts w:hint="eastAsia"/>
        </w:rPr>
        <w:t>文件中规定的预算金额或最高限价；</w:t>
      </w:r>
    </w:p>
    <w:p w14:paraId="2EC9485E">
      <w:pPr>
        <w:pStyle w:val="17"/>
        <w:spacing w:before="75" w:beforeAutospacing="0" w:after="75" w:afterAutospacing="0" w:line="400" w:lineRule="exact"/>
        <w:ind w:firstLine="480"/>
        <w:jc w:val="both"/>
        <w:textAlignment w:val="baseline"/>
        <w:rPr>
          <w:rFonts w:hint="eastAsia"/>
        </w:rPr>
      </w:pPr>
      <w:r>
        <w:rPr>
          <w:rFonts w:hint="eastAsia"/>
        </w:rPr>
        <w:t>（4）参选文件含有比选人不能接受的附加条件；</w:t>
      </w:r>
    </w:p>
    <w:p w14:paraId="7AEA1D4E">
      <w:pPr>
        <w:pStyle w:val="17"/>
        <w:spacing w:before="75" w:beforeAutospacing="0" w:after="75" w:afterAutospacing="0" w:line="400" w:lineRule="exact"/>
        <w:ind w:firstLine="480"/>
        <w:jc w:val="both"/>
        <w:textAlignment w:val="baseline"/>
        <w:rPr>
          <w:rStyle w:val="23"/>
          <w:rFonts w:hint="eastAsia" w:ascii="宋体" w:hAnsi="宋体" w:cs="宋体"/>
        </w:rPr>
      </w:pPr>
      <w:r>
        <w:rPr>
          <w:rFonts w:hint="eastAsia"/>
        </w:rPr>
        <w:t>（5）有关法律、法规和规章及比选文件规定的其他无效情形。</w:t>
      </w:r>
    </w:p>
    <w:p w14:paraId="02732D67">
      <w:pPr>
        <w:ind w:left="420" w:leftChars="200"/>
        <w:rPr>
          <w:bCs/>
        </w:rPr>
      </w:pPr>
      <w:bookmarkStart w:id="39" w:name="_Toc17746"/>
      <w:bookmarkStart w:id="40" w:name="_Toc11914"/>
      <w:bookmarkStart w:id="41" w:name="_Toc169117857"/>
      <w:r>
        <w:rPr>
          <w:rFonts w:hint="eastAsia"/>
          <w:b/>
          <w:bCs/>
          <w:sz w:val="24"/>
        </w:rPr>
        <w:t>四、开</w:t>
      </w:r>
      <w:bookmarkEnd w:id="39"/>
      <w:bookmarkEnd w:id="40"/>
      <w:bookmarkEnd w:id="41"/>
      <w:r>
        <w:rPr>
          <w:rFonts w:hint="eastAsia"/>
          <w:b/>
          <w:bCs/>
          <w:sz w:val="24"/>
        </w:rPr>
        <w:t>选</w:t>
      </w:r>
    </w:p>
    <w:p w14:paraId="17A189D5">
      <w:pPr>
        <w:pStyle w:val="17"/>
        <w:spacing w:before="75" w:beforeAutospacing="0" w:after="75" w:afterAutospacing="0" w:line="400" w:lineRule="exact"/>
        <w:ind w:left="420" w:leftChars="200"/>
        <w:jc w:val="both"/>
        <w:textAlignment w:val="baseline"/>
        <w:rPr>
          <w:rFonts w:hint="eastAsia"/>
          <w:b/>
          <w:bCs/>
        </w:rPr>
      </w:pPr>
      <w:r>
        <w:rPr>
          <w:rFonts w:hint="eastAsia"/>
          <w:b/>
          <w:bCs/>
        </w:rPr>
        <w:t>8、开选</w:t>
      </w:r>
    </w:p>
    <w:p w14:paraId="2B3179D0">
      <w:pPr>
        <w:pStyle w:val="17"/>
        <w:spacing w:before="75" w:beforeAutospacing="0" w:after="75" w:afterAutospacing="0" w:line="400" w:lineRule="exact"/>
        <w:ind w:firstLine="480" w:firstLineChars="200"/>
        <w:jc w:val="both"/>
        <w:textAlignment w:val="baseline"/>
        <w:rPr>
          <w:rFonts w:hint="eastAsia"/>
        </w:rPr>
      </w:pPr>
      <w:r>
        <w:rPr>
          <w:rFonts w:hint="eastAsia"/>
        </w:rPr>
        <w:t>（1）比选人将在参选文件截止日期后组织</w:t>
      </w:r>
      <w:r>
        <w:rPr>
          <w:rFonts w:hint="eastAsia"/>
          <w:lang w:val="en-US" w:eastAsia="zh-CN"/>
        </w:rPr>
        <w:t>开选评审</w:t>
      </w:r>
      <w:r>
        <w:rPr>
          <w:rFonts w:hint="eastAsia"/>
        </w:rPr>
        <w:t>，</w:t>
      </w:r>
      <w:r>
        <w:rPr>
          <w:rFonts w:hint="eastAsia"/>
          <w:lang w:val="en-US" w:eastAsia="zh-CN"/>
        </w:rPr>
        <w:t>比选评审</w:t>
      </w:r>
      <w:r>
        <w:rPr>
          <w:rFonts w:hint="eastAsia"/>
        </w:rPr>
        <w:t>工作在比选人有关部门监督下，由比选人依</w:t>
      </w:r>
      <w:r>
        <w:rPr>
          <w:rFonts w:hint="eastAsia"/>
          <w:lang w:val="en-US" w:eastAsia="zh-CN"/>
        </w:rPr>
        <w:t>据集团及公司相关规定</w:t>
      </w:r>
      <w:r>
        <w:rPr>
          <w:rFonts w:hint="eastAsia"/>
        </w:rPr>
        <w:t>组建的比选小组负责。</w:t>
      </w:r>
    </w:p>
    <w:p w14:paraId="241AEB58">
      <w:pPr>
        <w:pStyle w:val="17"/>
        <w:spacing w:before="75" w:beforeAutospacing="0" w:after="75" w:afterAutospacing="0" w:line="400" w:lineRule="exact"/>
        <w:ind w:left="420" w:leftChars="200"/>
        <w:jc w:val="both"/>
        <w:textAlignment w:val="baseline"/>
        <w:rPr>
          <w:rFonts w:hint="eastAsia"/>
        </w:rPr>
      </w:pPr>
      <w:r>
        <w:rPr>
          <w:rFonts w:hint="eastAsia"/>
        </w:rPr>
        <w:t>（2）在开选时有启封</w:t>
      </w:r>
      <w:r>
        <w:rPr>
          <w:rFonts w:hint="eastAsia"/>
          <w:lang w:val="en-US" w:eastAsia="zh-CN"/>
        </w:rPr>
        <w:t>或</w:t>
      </w:r>
      <w:r>
        <w:rPr>
          <w:rFonts w:hint="eastAsia"/>
        </w:rPr>
        <w:t>没</w:t>
      </w:r>
      <w:r>
        <w:rPr>
          <w:rFonts w:hint="eastAsia"/>
          <w:lang w:val="en-US" w:eastAsia="zh-CN"/>
        </w:rPr>
        <w:t>盖</w:t>
      </w:r>
      <w:r>
        <w:rPr>
          <w:rFonts w:hint="eastAsia"/>
        </w:rPr>
        <w:t>公章的参选文件，在比选时将不予</w:t>
      </w:r>
      <w:r>
        <w:rPr>
          <w:rFonts w:hint="eastAsia"/>
          <w:lang w:val="en-US" w:eastAsia="zh-CN"/>
        </w:rPr>
        <w:t>视为无效文件</w:t>
      </w:r>
      <w:r>
        <w:rPr>
          <w:rFonts w:hint="eastAsia"/>
        </w:rPr>
        <w:t>。</w:t>
      </w:r>
    </w:p>
    <w:p w14:paraId="37C34D16">
      <w:pPr>
        <w:pStyle w:val="17"/>
        <w:spacing w:before="75" w:beforeAutospacing="0" w:after="75" w:afterAutospacing="0" w:line="400" w:lineRule="exact"/>
        <w:ind w:left="420" w:leftChars="200"/>
        <w:jc w:val="both"/>
        <w:textAlignment w:val="baseline"/>
        <w:rPr>
          <w:rFonts w:hint="eastAsia" w:eastAsia="宋体"/>
          <w:lang w:eastAsia="zh-CN"/>
        </w:rPr>
      </w:pPr>
      <w:r>
        <w:rPr>
          <w:rFonts w:hint="eastAsia"/>
        </w:rPr>
        <w:t>（3）比选人将做开选记录</w:t>
      </w:r>
      <w:bookmarkStart w:id="42" w:name="_Toc29931"/>
      <w:bookmarkStart w:id="43" w:name="_Toc25538"/>
      <w:bookmarkStart w:id="44" w:name="_Toc169117858"/>
      <w:r>
        <w:rPr>
          <w:rFonts w:hint="eastAsia"/>
          <w:lang w:eastAsia="zh-CN"/>
        </w:rPr>
        <w:t>。</w:t>
      </w:r>
    </w:p>
    <w:p w14:paraId="5A710EB8">
      <w:pPr>
        <w:pStyle w:val="5"/>
        <w:ind w:left="420" w:leftChars="200"/>
        <w:rPr>
          <w:rFonts w:hint="eastAsia"/>
        </w:rPr>
      </w:pPr>
      <w:bookmarkStart w:id="45" w:name="_Toc208325532"/>
      <w:r>
        <w:rPr>
          <w:rFonts w:hint="eastAsia"/>
        </w:rPr>
        <w:t>五、中选与</w:t>
      </w:r>
      <w:bookmarkEnd w:id="42"/>
      <w:bookmarkEnd w:id="43"/>
      <w:r>
        <w:rPr>
          <w:rFonts w:hint="eastAsia"/>
        </w:rPr>
        <w:t>采购合同</w:t>
      </w:r>
      <w:bookmarkEnd w:id="44"/>
      <w:bookmarkEnd w:id="45"/>
    </w:p>
    <w:p w14:paraId="3E4E9EDB">
      <w:pPr>
        <w:pStyle w:val="17"/>
        <w:spacing w:before="75" w:beforeAutospacing="0" w:after="75" w:afterAutospacing="0" w:line="400" w:lineRule="exact"/>
        <w:ind w:left="420" w:leftChars="200"/>
        <w:jc w:val="both"/>
        <w:textAlignment w:val="baseline"/>
        <w:rPr>
          <w:rFonts w:hint="eastAsia"/>
          <w:b/>
          <w:bCs/>
        </w:rPr>
      </w:pPr>
      <w:r>
        <w:rPr>
          <w:rFonts w:hint="eastAsia"/>
          <w:b/>
          <w:bCs/>
        </w:rPr>
        <w:t>9、中选</w:t>
      </w:r>
    </w:p>
    <w:p w14:paraId="6931149E">
      <w:pPr>
        <w:pStyle w:val="17"/>
        <w:spacing w:before="75" w:beforeAutospacing="0" w:after="75" w:afterAutospacing="0" w:line="400" w:lineRule="exact"/>
        <w:ind w:left="420" w:leftChars="200"/>
        <w:jc w:val="both"/>
        <w:textAlignment w:val="baseline"/>
        <w:rPr>
          <w:rFonts w:hint="eastAsia"/>
        </w:rPr>
      </w:pPr>
      <w:r>
        <w:rPr>
          <w:rFonts w:hint="eastAsia"/>
        </w:rPr>
        <w:t>9.1本项目中选人的</w:t>
      </w:r>
      <w:r>
        <w:rPr>
          <w:rFonts w:hint="eastAsia"/>
          <w:lang w:val="en-US" w:eastAsia="zh-CN"/>
        </w:rPr>
        <w:t>评审标准及</w:t>
      </w:r>
      <w:r>
        <w:rPr>
          <w:rFonts w:hint="eastAsia"/>
        </w:rPr>
        <w:t>确定：详见第四章。</w:t>
      </w:r>
    </w:p>
    <w:p w14:paraId="1AF0E22B">
      <w:pPr>
        <w:pStyle w:val="17"/>
        <w:spacing w:before="75" w:beforeAutospacing="0" w:after="75" w:afterAutospacing="0" w:line="400" w:lineRule="exact"/>
        <w:ind w:left="420" w:leftChars="200"/>
        <w:jc w:val="both"/>
        <w:textAlignment w:val="baseline"/>
        <w:rPr>
          <w:rFonts w:hint="eastAsia"/>
        </w:rPr>
      </w:pPr>
      <w:r>
        <w:rPr>
          <w:rFonts w:hint="eastAsia"/>
        </w:rPr>
        <w:t>9.2中选结果发布</w:t>
      </w:r>
    </w:p>
    <w:p w14:paraId="26214D43">
      <w:pPr>
        <w:pStyle w:val="17"/>
        <w:spacing w:before="75" w:beforeAutospacing="0" w:after="75" w:afterAutospacing="0" w:line="400" w:lineRule="exact"/>
        <w:ind w:firstLine="480" w:firstLineChars="200"/>
        <w:jc w:val="both"/>
        <w:textAlignment w:val="baseline"/>
        <w:rPr>
          <w:rFonts w:hint="eastAsia"/>
        </w:rPr>
      </w:pPr>
      <w:r>
        <w:rPr>
          <w:rFonts w:hint="eastAsia"/>
        </w:rPr>
        <w:t>（1）中选人确定之日起2个工作日内，在福建能源石化集团阳光平台及比选人公司官网上以中选公告的形式发布中选结果。</w:t>
      </w:r>
    </w:p>
    <w:p w14:paraId="669DBB4F">
      <w:pPr>
        <w:pStyle w:val="17"/>
        <w:spacing w:before="75" w:beforeAutospacing="0" w:after="75" w:afterAutospacing="0" w:line="400" w:lineRule="exact"/>
        <w:ind w:firstLine="480" w:firstLineChars="200"/>
        <w:jc w:val="both"/>
        <w:textAlignment w:val="baseline"/>
        <w:rPr>
          <w:rFonts w:hint="eastAsia"/>
        </w:rPr>
      </w:pPr>
      <w:r>
        <w:rPr>
          <w:rFonts w:hint="eastAsia"/>
        </w:rPr>
        <w:t>（2）中选公告的公告期限为3日。</w:t>
      </w:r>
    </w:p>
    <w:p w14:paraId="4C27B9D6">
      <w:pPr>
        <w:pStyle w:val="17"/>
        <w:spacing w:before="75" w:beforeAutospacing="0" w:after="75" w:afterAutospacing="0" w:line="400" w:lineRule="exact"/>
        <w:ind w:firstLine="480" w:firstLineChars="200"/>
        <w:jc w:val="both"/>
        <w:textAlignment w:val="baseline"/>
        <w:rPr>
          <w:rFonts w:hint="eastAsia"/>
        </w:rPr>
      </w:pPr>
      <w:r>
        <w:rPr>
          <w:rFonts w:hint="eastAsia"/>
        </w:rPr>
        <w:t>9.3中选通知书</w:t>
      </w:r>
    </w:p>
    <w:p w14:paraId="2B11356A">
      <w:pPr>
        <w:pStyle w:val="17"/>
        <w:spacing w:before="75" w:beforeAutospacing="0" w:after="75" w:afterAutospacing="0" w:line="400" w:lineRule="exact"/>
        <w:ind w:firstLine="480" w:firstLineChars="200"/>
        <w:jc w:val="both"/>
        <w:textAlignment w:val="baseline"/>
        <w:rPr>
          <w:rFonts w:hint="eastAsia"/>
        </w:rPr>
      </w:pPr>
      <w:r>
        <w:rPr>
          <w:rFonts w:hint="eastAsia"/>
        </w:rPr>
        <w:t>（1）中选公告发布的同时，将向中选人发出中选通知书。</w:t>
      </w:r>
    </w:p>
    <w:p w14:paraId="4E3AE1D9">
      <w:pPr>
        <w:pStyle w:val="17"/>
        <w:spacing w:before="75" w:beforeAutospacing="0" w:after="75" w:afterAutospacing="0" w:line="400" w:lineRule="exact"/>
        <w:ind w:firstLine="480" w:firstLineChars="200"/>
        <w:jc w:val="both"/>
        <w:textAlignment w:val="baseline"/>
        <w:rPr>
          <w:rFonts w:hint="eastAsia"/>
        </w:rPr>
      </w:pPr>
      <w:r>
        <w:rPr>
          <w:rFonts w:hint="eastAsia"/>
        </w:rPr>
        <w:t>（2）中选通知书发出后，比选人不得违法改变中选结果，中选人无正当理由不得放弃中选。</w:t>
      </w:r>
    </w:p>
    <w:p w14:paraId="43F72077">
      <w:pPr>
        <w:pStyle w:val="17"/>
        <w:spacing w:before="75" w:beforeAutospacing="0" w:after="75" w:afterAutospacing="0" w:line="400" w:lineRule="exact"/>
        <w:ind w:firstLine="482" w:firstLineChars="200"/>
        <w:jc w:val="both"/>
        <w:textAlignment w:val="baseline"/>
        <w:rPr>
          <w:rFonts w:hint="eastAsia"/>
          <w:b/>
          <w:bCs/>
        </w:rPr>
      </w:pPr>
      <w:r>
        <w:rPr>
          <w:rFonts w:hint="eastAsia"/>
          <w:b/>
          <w:bCs/>
        </w:rPr>
        <w:t>10、采购合同</w:t>
      </w:r>
    </w:p>
    <w:p w14:paraId="7AA55EE0">
      <w:pPr>
        <w:pStyle w:val="17"/>
        <w:spacing w:before="75" w:beforeAutospacing="0" w:after="75" w:afterAutospacing="0" w:line="400" w:lineRule="exact"/>
        <w:ind w:firstLine="480" w:firstLineChars="200"/>
        <w:jc w:val="both"/>
        <w:textAlignment w:val="baseline"/>
        <w:rPr>
          <w:rFonts w:hint="eastAsia"/>
        </w:rPr>
      </w:pPr>
      <w:r>
        <w:rPr>
          <w:rFonts w:hint="eastAsia"/>
        </w:rPr>
        <w:t>10.1签订采购合同应遵守相关规定，不得对比选文件确定的事项和中选人的参选文件作实质性修改。比选人不得向中选人提出任何不合理的要求作为采购合同的签订条件。</w:t>
      </w:r>
    </w:p>
    <w:p w14:paraId="3535BBED">
      <w:pPr>
        <w:pStyle w:val="17"/>
        <w:spacing w:before="75" w:beforeAutospacing="0" w:after="75" w:afterAutospacing="0" w:line="400" w:lineRule="exact"/>
        <w:ind w:firstLine="482" w:firstLineChars="200"/>
        <w:jc w:val="both"/>
        <w:textAlignment w:val="baseline"/>
        <w:rPr>
          <w:rFonts w:hint="eastAsia"/>
          <w:b/>
          <w:bCs/>
        </w:rPr>
      </w:pPr>
      <w:r>
        <w:rPr>
          <w:rFonts w:hint="eastAsia"/>
          <w:b/>
          <w:bCs/>
        </w:rPr>
        <w:t>10.2签订时限：自中选通知书发出之日起20个日历日内。</w:t>
      </w:r>
    </w:p>
    <w:p w14:paraId="69773302">
      <w:pPr>
        <w:pStyle w:val="17"/>
        <w:spacing w:before="75" w:beforeAutospacing="0" w:after="75" w:afterAutospacing="0" w:line="400" w:lineRule="exact"/>
        <w:ind w:firstLine="480" w:firstLineChars="200"/>
        <w:jc w:val="both"/>
        <w:textAlignment w:val="baseline"/>
        <w:rPr>
          <w:rFonts w:hint="eastAsia"/>
        </w:rPr>
      </w:pPr>
      <w:r>
        <w:rPr>
          <w:rFonts w:hint="eastAsia"/>
        </w:rPr>
        <w:t>10.3采购合同的履行、违约责任和解决争议的方法等适用《中华人民共和国民法典》合同编规定。</w:t>
      </w:r>
    </w:p>
    <w:p w14:paraId="1CECD19C">
      <w:pPr>
        <w:pStyle w:val="17"/>
        <w:spacing w:before="75" w:beforeAutospacing="0" w:after="75" w:afterAutospacing="0" w:line="400" w:lineRule="exact"/>
        <w:ind w:firstLine="480" w:firstLineChars="200"/>
        <w:jc w:val="both"/>
        <w:textAlignment w:val="baseline"/>
        <w:rPr>
          <w:rFonts w:hint="eastAsia"/>
        </w:rPr>
      </w:pPr>
      <w:r>
        <w:rPr>
          <w:rFonts w:hint="eastAsia"/>
        </w:rPr>
        <w:t>10.4比选人与中选人应根据采购合同的约定依法履行合同义务。</w:t>
      </w:r>
    </w:p>
    <w:p w14:paraId="44320724">
      <w:pPr>
        <w:pStyle w:val="17"/>
        <w:spacing w:before="75" w:beforeAutospacing="0" w:after="75" w:afterAutospacing="0" w:line="400" w:lineRule="exact"/>
        <w:ind w:firstLine="480" w:firstLineChars="200"/>
        <w:jc w:val="both"/>
        <w:textAlignment w:val="baseline"/>
        <w:rPr>
          <w:rFonts w:hint="eastAsia"/>
        </w:rPr>
      </w:pPr>
      <w:r>
        <w:rPr>
          <w:rFonts w:hint="eastAsia"/>
        </w:rPr>
        <w:t>10.5采购合同履行过程中，比选人若需追加与合同标的相同的货物或服务，则追加金额不得超过原合同金额的10%。</w:t>
      </w:r>
    </w:p>
    <w:p w14:paraId="4E48D621">
      <w:pPr>
        <w:pStyle w:val="17"/>
        <w:spacing w:before="75" w:beforeAutospacing="0" w:after="75" w:afterAutospacing="0" w:line="400" w:lineRule="exact"/>
        <w:ind w:firstLine="480" w:firstLineChars="200"/>
        <w:jc w:val="both"/>
        <w:textAlignment w:val="baseline"/>
        <w:rPr>
          <w:rFonts w:hint="eastAsia"/>
        </w:rPr>
      </w:pPr>
      <w:r>
        <w:rPr>
          <w:rFonts w:hint="eastAsia"/>
        </w:rPr>
        <w:t>10.6中选人在采购合同履行过程中应遵守有关法律、法规和规章的强制性规定（即使前述强制性规定有可能在比选文件中未予列明）。</w:t>
      </w:r>
    </w:p>
    <w:p w14:paraId="5B4B98F6">
      <w:pPr>
        <w:pStyle w:val="5"/>
        <w:ind w:firstLine="482" w:firstLineChars="200"/>
        <w:rPr>
          <w:rFonts w:hint="eastAsia"/>
        </w:rPr>
      </w:pPr>
      <w:bookmarkStart w:id="46" w:name="_Toc8489"/>
      <w:bookmarkStart w:id="47" w:name="_Toc169117859"/>
      <w:bookmarkStart w:id="48" w:name="_Toc3740"/>
      <w:bookmarkStart w:id="49" w:name="_Toc208325533"/>
      <w:r>
        <w:rPr>
          <w:rFonts w:hint="eastAsia"/>
        </w:rPr>
        <w:t>六、本项目的有关信息</w:t>
      </w:r>
      <w:bookmarkEnd w:id="46"/>
      <w:bookmarkEnd w:id="47"/>
      <w:bookmarkEnd w:id="48"/>
      <w:bookmarkEnd w:id="49"/>
    </w:p>
    <w:p w14:paraId="7E38018F">
      <w:pPr>
        <w:pStyle w:val="17"/>
        <w:spacing w:before="75" w:beforeAutospacing="0" w:after="75" w:afterAutospacing="0" w:line="400" w:lineRule="exact"/>
        <w:ind w:firstLine="480" w:firstLineChars="200"/>
        <w:jc w:val="both"/>
        <w:textAlignment w:val="baseline"/>
        <w:rPr>
          <w:rFonts w:hint="eastAsia"/>
        </w:rPr>
      </w:pPr>
      <w:r>
        <w:rPr>
          <w:rFonts w:hint="eastAsia"/>
        </w:rPr>
        <w:t>11.本项目的有关信息，包括但不限于：比选公告、更正公告（若有）、比选文件、比选文件的澄清或修改（若有）、中选公告、终止公告（若有）、废标公告（若有）等都将在比选文件载明的指定媒体发布。</w:t>
      </w:r>
    </w:p>
    <w:p w14:paraId="45A0D63E">
      <w:pPr>
        <w:ind w:left="420"/>
      </w:pPr>
      <w:r>
        <w:rPr>
          <w:rFonts w:hint="eastAsia" w:ascii="宋体" w:hAnsi="宋体" w:cs="宋体"/>
          <w:kern w:val="0"/>
          <w:sz w:val="24"/>
        </w:rPr>
        <w:t>12.本项目的潜在参选人或参选人应随时关注指定媒体，否则产生不利后果由其自行承担。</w:t>
      </w:r>
      <w:r>
        <w:rPr>
          <w:rFonts w:hint="eastAsia"/>
        </w:rPr>
        <w:br w:type="page"/>
      </w:r>
    </w:p>
    <w:p w14:paraId="4647D5C6">
      <w:pPr>
        <w:pStyle w:val="2"/>
        <w:spacing w:after="0"/>
        <w:jc w:val="center"/>
        <w:outlineLvl w:val="0"/>
        <w:rPr>
          <w:rFonts w:hint="eastAsia" w:ascii="黑体" w:hAnsi="黑体" w:eastAsia="黑体" w:cs="宋体"/>
          <w:sz w:val="28"/>
          <w:szCs w:val="28"/>
        </w:rPr>
      </w:pPr>
      <w:bookmarkStart w:id="50" w:name="_Toc208325534"/>
      <w:bookmarkStart w:id="51" w:name="_Toc169117860"/>
      <w:r>
        <w:rPr>
          <w:rFonts w:hint="eastAsia" w:ascii="黑体" w:hAnsi="黑体" w:eastAsia="黑体" w:cs="宋体"/>
          <w:sz w:val="28"/>
          <w:szCs w:val="28"/>
        </w:rPr>
        <w:t>第四章</w:t>
      </w:r>
      <w:r>
        <w:rPr>
          <w:rFonts w:hint="eastAsia" w:ascii="Calibri" w:hAnsi="Calibri" w:eastAsia="黑体" w:cs="Calibri"/>
          <w:sz w:val="28"/>
          <w:szCs w:val="28"/>
        </w:rPr>
        <w:t xml:space="preserve">  </w:t>
      </w:r>
      <w:r>
        <w:rPr>
          <w:rFonts w:hint="eastAsia" w:ascii="黑体" w:hAnsi="黑体" w:eastAsia="黑体" w:cs="宋体"/>
          <w:sz w:val="28"/>
          <w:szCs w:val="28"/>
        </w:rPr>
        <w:t>资格审查与评审</w:t>
      </w:r>
      <w:bookmarkEnd w:id="50"/>
      <w:bookmarkEnd w:id="51"/>
    </w:p>
    <w:p w14:paraId="4CE0F12F">
      <w:pPr>
        <w:pStyle w:val="5"/>
        <w:ind w:left="420"/>
        <w:rPr>
          <w:rFonts w:hint="eastAsia"/>
        </w:rPr>
      </w:pPr>
      <w:bookmarkStart w:id="52" w:name="_Toc169117861"/>
      <w:bookmarkStart w:id="53" w:name="_Toc30364"/>
      <w:bookmarkStart w:id="54" w:name="_Toc20043"/>
      <w:bookmarkStart w:id="55" w:name="_Toc208325535"/>
      <w:r>
        <w:rPr>
          <w:rFonts w:hint="eastAsia"/>
        </w:rPr>
        <w:t>一、资格审查</w:t>
      </w:r>
      <w:bookmarkEnd w:id="52"/>
      <w:bookmarkEnd w:id="53"/>
      <w:bookmarkEnd w:id="54"/>
      <w:bookmarkEnd w:id="55"/>
    </w:p>
    <w:p w14:paraId="6C917342">
      <w:pPr>
        <w:pStyle w:val="17"/>
        <w:spacing w:before="75" w:beforeAutospacing="0" w:after="75" w:afterAutospacing="0" w:line="360" w:lineRule="auto"/>
        <w:ind w:left="420"/>
        <w:jc w:val="both"/>
        <w:textAlignment w:val="baseline"/>
        <w:rPr>
          <w:rFonts w:hint="eastAsia"/>
        </w:rPr>
      </w:pPr>
      <w:r>
        <w:rPr>
          <w:rFonts w:hint="eastAsia"/>
        </w:rPr>
        <w:t>（一）、资格审查的范围及内容：参选文件，具体如下：</w:t>
      </w:r>
    </w:p>
    <w:p w14:paraId="22FFAD5B">
      <w:pPr>
        <w:pStyle w:val="17"/>
        <w:spacing w:before="75" w:beforeAutospacing="0" w:after="75" w:afterAutospacing="0" w:line="360" w:lineRule="auto"/>
        <w:ind w:left="420"/>
        <w:jc w:val="both"/>
        <w:textAlignment w:val="baseline"/>
        <w:rPr>
          <w:rFonts w:hint="eastAsia"/>
        </w:rPr>
      </w:pPr>
      <w:r>
        <w:rPr>
          <w:rFonts w:hint="eastAsia"/>
        </w:rPr>
        <w:t>1. 参选书；</w:t>
      </w:r>
    </w:p>
    <w:p w14:paraId="45AA31A2">
      <w:pPr>
        <w:widowControl/>
        <w:spacing w:before="75" w:line="360" w:lineRule="auto"/>
        <w:ind w:left="420"/>
        <w:textAlignment w:val="baseline"/>
        <w:rPr>
          <w:rFonts w:hint="eastAsia" w:ascii="宋体" w:hAnsi="宋体" w:cs="宋体"/>
        </w:rPr>
      </w:pPr>
      <w:r>
        <w:rPr>
          <w:rFonts w:hint="eastAsia" w:ascii="宋体" w:hAnsi="宋体" w:cs="宋体"/>
          <w:sz w:val="24"/>
        </w:rPr>
        <w:t>2. 参选人的资格证明文件。</w:t>
      </w:r>
    </w:p>
    <w:p w14:paraId="2D3EE8D2">
      <w:pPr>
        <w:widowControl/>
        <w:spacing w:line="360" w:lineRule="auto"/>
        <w:ind w:left="420"/>
        <w:textAlignment w:val="baseline"/>
        <w:rPr>
          <w:rFonts w:hint="eastAsia" w:ascii="宋体" w:hAnsi="宋体" w:cs="宋体"/>
          <w:kern w:val="0"/>
          <w:sz w:val="24"/>
        </w:rPr>
      </w:pPr>
      <w:r>
        <w:rPr>
          <w:rFonts w:hint="eastAsia" w:ascii="宋体" w:hAnsi="宋体" w:cs="宋体"/>
          <w:kern w:val="0"/>
          <w:sz w:val="24"/>
        </w:rPr>
        <w:t>有下列情形之一的，</w:t>
      </w:r>
      <w:r>
        <w:rPr>
          <w:rFonts w:hint="eastAsia" w:ascii="宋体" w:hAnsi="宋体" w:cs="宋体"/>
          <w:b/>
          <w:bCs/>
          <w:kern w:val="0"/>
          <w:sz w:val="24"/>
        </w:rPr>
        <w:t>资格审查不合格：</w:t>
      </w:r>
    </w:p>
    <w:p w14:paraId="61769961">
      <w:pPr>
        <w:widowControl/>
        <w:spacing w:before="75" w:line="360" w:lineRule="auto"/>
        <w:ind w:left="420"/>
        <w:textAlignment w:val="baseline"/>
        <w:rPr>
          <w:rFonts w:hint="eastAsia" w:ascii="宋体" w:hAnsi="宋体" w:cs="宋体"/>
          <w:kern w:val="0"/>
          <w:sz w:val="24"/>
        </w:rPr>
      </w:pPr>
      <w:r>
        <w:rPr>
          <w:rFonts w:hint="eastAsia" w:ascii="宋体" w:hAnsi="宋体" w:cs="宋体"/>
          <w:kern w:val="0"/>
          <w:sz w:val="24"/>
        </w:rPr>
        <w:t>（1）未按照公开</w:t>
      </w:r>
      <w:r>
        <w:rPr>
          <w:rFonts w:hint="eastAsia" w:ascii="宋体" w:hAnsi="宋体" w:cs="宋体"/>
          <w:kern w:val="0"/>
          <w:sz w:val="24"/>
          <w:lang w:val="en-US" w:eastAsia="zh-CN"/>
        </w:rPr>
        <w:t>采购</w:t>
      </w:r>
      <w:r>
        <w:rPr>
          <w:rFonts w:hint="eastAsia" w:ascii="宋体" w:hAnsi="宋体" w:cs="宋体"/>
          <w:kern w:val="0"/>
          <w:sz w:val="24"/>
        </w:rPr>
        <w:t>文件规定提交比选函；</w:t>
      </w:r>
    </w:p>
    <w:p w14:paraId="1DE6F6F5">
      <w:pPr>
        <w:widowControl/>
        <w:spacing w:before="75" w:line="360" w:lineRule="auto"/>
        <w:ind w:left="420"/>
        <w:textAlignment w:val="baseline"/>
        <w:rPr>
          <w:rFonts w:hint="eastAsia" w:ascii="宋体" w:hAnsi="宋体" w:cs="宋体"/>
          <w:kern w:val="0"/>
          <w:sz w:val="24"/>
        </w:rPr>
      </w:pPr>
      <w:r>
        <w:rPr>
          <w:rFonts w:hint="eastAsia" w:ascii="宋体" w:hAnsi="宋体" w:cs="宋体"/>
          <w:kern w:val="0"/>
          <w:sz w:val="24"/>
        </w:rPr>
        <w:t>（2）未按照公开</w:t>
      </w:r>
      <w:r>
        <w:rPr>
          <w:rFonts w:hint="eastAsia" w:ascii="宋体" w:hAnsi="宋体" w:cs="宋体"/>
          <w:kern w:val="0"/>
          <w:sz w:val="24"/>
          <w:lang w:val="en-US" w:eastAsia="zh-CN"/>
        </w:rPr>
        <w:t>采购</w:t>
      </w:r>
      <w:r>
        <w:rPr>
          <w:rFonts w:hint="eastAsia" w:ascii="宋体" w:hAnsi="宋体" w:cs="宋体"/>
          <w:kern w:val="0"/>
          <w:sz w:val="24"/>
        </w:rPr>
        <w:t>文件规定提交参选人的资格及资信文件。</w:t>
      </w:r>
    </w:p>
    <w:p w14:paraId="409CCAE1">
      <w:pPr>
        <w:pStyle w:val="17"/>
        <w:spacing w:before="75" w:beforeAutospacing="0" w:after="75" w:afterAutospacing="0" w:line="360" w:lineRule="auto"/>
        <w:ind w:firstLine="480" w:firstLineChars="200"/>
        <w:jc w:val="both"/>
        <w:textAlignment w:val="baseline"/>
        <w:rPr>
          <w:rFonts w:hint="eastAsia"/>
        </w:rPr>
      </w:pPr>
      <w:r>
        <w:rPr>
          <w:rFonts w:hint="eastAsia"/>
        </w:rPr>
        <w:t>（二）、资格审查情况不得私自外泄。</w:t>
      </w:r>
    </w:p>
    <w:p w14:paraId="5A1FE437">
      <w:pPr>
        <w:pStyle w:val="17"/>
        <w:spacing w:before="75" w:beforeAutospacing="0" w:after="75" w:afterAutospacing="0" w:line="360" w:lineRule="auto"/>
        <w:ind w:firstLine="480" w:firstLineChars="200"/>
        <w:jc w:val="both"/>
        <w:textAlignment w:val="baseline"/>
        <w:rPr>
          <w:rFonts w:hint="eastAsia"/>
        </w:rPr>
      </w:pPr>
      <w:r>
        <w:rPr>
          <w:rFonts w:hint="eastAsia"/>
        </w:rPr>
        <w:t>（三）、资格审查合格的参选人不足三家的，不</w:t>
      </w:r>
      <w:r>
        <w:rPr>
          <w:rFonts w:hint="eastAsia"/>
          <w:lang w:val="en-US" w:eastAsia="zh-CN"/>
        </w:rPr>
        <w:t>再</w:t>
      </w:r>
      <w:r>
        <w:rPr>
          <w:rFonts w:hint="eastAsia"/>
        </w:rPr>
        <w:t>进行评审</w:t>
      </w:r>
      <w:r>
        <w:rPr>
          <w:rFonts w:hint="eastAsia"/>
          <w:lang w:eastAsia="zh-CN"/>
        </w:rPr>
        <w:t>，</w:t>
      </w:r>
      <w:r>
        <w:rPr>
          <w:rFonts w:hint="eastAsia"/>
          <w:lang w:val="en-US" w:eastAsia="zh-CN"/>
        </w:rPr>
        <w:t>本次比选活动结束</w:t>
      </w:r>
      <w:r>
        <w:rPr>
          <w:rFonts w:hint="eastAsia"/>
        </w:rPr>
        <w:t>。本次比选活动结束</w:t>
      </w:r>
      <w:r>
        <w:rPr>
          <w:rFonts w:hint="eastAsia"/>
          <w:lang w:val="en-US" w:eastAsia="zh-CN"/>
        </w:rPr>
        <w:t>后</w:t>
      </w:r>
      <w:r>
        <w:rPr>
          <w:rFonts w:hint="eastAsia"/>
        </w:rPr>
        <w:t>，将依法组织后续</w:t>
      </w:r>
      <w:r>
        <w:rPr>
          <w:rFonts w:hint="eastAsia"/>
          <w:lang w:val="en-US" w:eastAsia="zh-CN"/>
        </w:rPr>
        <w:t>采购</w:t>
      </w:r>
      <w:r>
        <w:rPr>
          <w:rFonts w:hint="eastAsia"/>
        </w:rPr>
        <w:t>活动（包括但不限于：重新</w:t>
      </w:r>
      <w:r>
        <w:rPr>
          <w:rFonts w:hint="eastAsia"/>
          <w:lang w:val="en-US" w:eastAsia="zh-CN"/>
        </w:rPr>
        <w:t>询比</w:t>
      </w:r>
      <w:r>
        <w:rPr>
          <w:rFonts w:hint="eastAsia"/>
        </w:rPr>
        <w:t>及采用其他方式采购等）。</w:t>
      </w:r>
    </w:p>
    <w:p w14:paraId="148300F4">
      <w:pPr>
        <w:pStyle w:val="5"/>
        <w:ind w:left="420" w:leftChars="200"/>
        <w:rPr>
          <w:rFonts w:hint="eastAsia"/>
        </w:rPr>
      </w:pPr>
      <w:bookmarkStart w:id="56" w:name="_Toc4694"/>
      <w:bookmarkStart w:id="57" w:name="_Toc32280"/>
      <w:bookmarkStart w:id="58" w:name="_Toc169117862"/>
      <w:bookmarkStart w:id="59" w:name="_Toc208325536"/>
      <w:r>
        <w:rPr>
          <w:rFonts w:hint="eastAsia"/>
        </w:rPr>
        <w:t>二、评</w:t>
      </w:r>
      <w:bookmarkEnd w:id="56"/>
      <w:bookmarkEnd w:id="57"/>
      <w:r>
        <w:rPr>
          <w:rFonts w:hint="eastAsia"/>
        </w:rPr>
        <w:t>审</w:t>
      </w:r>
      <w:bookmarkEnd w:id="58"/>
      <w:r>
        <w:rPr>
          <w:rFonts w:hint="eastAsia"/>
        </w:rPr>
        <w:t>方法和标准</w:t>
      </w:r>
      <w:bookmarkEnd w:id="59"/>
    </w:p>
    <w:p w14:paraId="00C8447F">
      <w:pPr>
        <w:pStyle w:val="17"/>
        <w:spacing w:before="75" w:beforeAutospacing="0" w:after="75" w:afterAutospacing="0" w:line="360" w:lineRule="auto"/>
        <w:ind w:left="420" w:leftChars="200"/>
        <w:jc w:val="both"/>
        <w:textAlignment w:val="baseline"/>
        <w:rPr>
          <w:rFonts w:hint="eastAsia"/>
        </w:rPr>
      </w:pPr>
      <w:r>
        <w:rPr>
          <w:rFonts w:hint="eastAsia"/>
        </w:rPr>
        <w:t>（一）、评审方法：</w:t>
      </w:r>
      <w:r>
        <w:rPr>
          <w:rFonts w:hint="eastAsia"/>
          <w:b/>
          <w:bCs/>
        </w:rPr>
        <w:t>采用综合评分法，最高限价200000.00万元（含税价）。</w:t>
      </w:r>
    </w:p>
    <w:p w14:paraId="1DF863ED">
      <w:pPr>
        <w:spacing w:line="360" w:lineRule="auto"/>
        <w:ind w:firstLine="480" w:firstLineChars="200"/>
        <w:textAlignment w:val="baseline"/>
        <w:rPr>
          <w:rFonts w:hint="eastAsia" w:ascii="宋体" w:hAnsi="宋体" w:cs="宋体"/>
          <w:kern w:val="0"/>
          <w:sz w:val="24"/>
        </w:rPr>
      </w:pPr>
      <w:r>
        <w:rPr>
          <w:rFonts w:hint="eastAsia" w:ascii="宋体" w:hAnsi="宋体" w:cs="宋体"/>
          <w:kern w:val="0"/>
          <w:sz w:val="24"/>
        </w:rPr>
        <w:t>（二）、参选文件满足</w:t>
      </w:r>
      <w:r>
        <w:rPr>
          <w:rFonts w:hint="eastAsia" w:ascii="宋体" w:hAnsi="宋体" w:cs="宋体"/>
          <w:kern w:val="0"/>
          <w:sz w:val="24"/>
          <w:lang w:val="en-US" w:eastAsia="zh-CN"/>
        </w:rPr>
        <w:t>采购</w:t>
      </w:r>
      <w:r>
        <w:rPr>
          <w:rFonts w:hint="eastAsia" w:ascii="宋体" w:hAnsi="宋体" w:cs="宋体"/>
          <w:kern w:val="0"/>
          <w:sz w:val="24"/>
        </w:rPr>
        <w:t>文件全部实质性要求，且按照评审因素的量化指标评审得分（即评审总得分）最高的参选人为中选候选人。</w:t>
      </w:r>
    </w:p>
    <w:p w14:paraId="5D1E3FE2">
      <w:pPr>
        <w:spacing w:line="360" w:lineRule="auto"/>
        <w:ind w:firstLine="480" w:firstLineChars="200"/>
        <w:textAlignment w:val="baseline"/>
        <w:rPr>
          <w:rFonts w:hint="eastAsia" w:ascii="宋体" w:hAnsi="宋体" w:cs="宋体"/>
          <w:kern w:val="0"/>
          <w:sz w:val="24"/>
        </w:rPr>
      </w:pPr>
      <w:r>
        <w:rPr>
          <w:rFonts w:hint="eastAsia" w:ascii="宋体" w:hAnsi="宋体" w:cs="宋体"/>
          <w:kern w:val="0"/>
          <w:sz w:val="24"/>
        </w:rPr>
        <w:t>1. 每个参选人的评审总得分FA＝F1＋F2＋F3，其中：F1指价格项评审因素得分、F2指技术项评审因素得分、F3指商务项评审因素得分。</w:t>
      </w:r>
    </w:p>
    <w:p w14:paraId="6C859CB3">
      <w:pPr>
        <w:pStyle w:val="17"/>
        <w:spacing w:before="0" w:beforeAutospacing="0" w:after="0" w:afterAutospacing="0" w:line="360" w:lineRule="auto"/>
        <w:ind w:firstLine="480" w:firstLineChars="200"/>
        <w:textAlignment w:val="baseline"/>
        <w:rPr>
          <w:rFonts w:hint="eastAsia"/>
        </w:rPr>
      </w:pPr>
      <w:r>
        <w:rPr>
          <w:rFonts w:hint="eastAsia"/>
        </w:rPr>
        <w:t>2. 各项评审因素的设置如下：</w:t>
      </w:r>
    </w:p>
    <w:p w14:paraId="5CD96E38">
      <w:pPr>
        <w:pStyle w:val="17"/>
        <w:spacing w:before="0" w:beforeAutospacing="0" w:after="0" w:afterAutospacing="0" w:line="360" w:lineRule="auto"/>
        <w:ind w:firstLine="480" w:firstLineChars="200"/>
        <w:textAlignment w:val="baseline"/>
        <w:rPr>
          <w:rFonts w:hint="eastAsia"/>
        </w:rPr>
      </w:pPr>
      <w:r>
        <w:rPr>
          <w:rFonts w:hint="eastAsia"/>
        </w:rPr>
        <w:t>（1）价格项（F1）满分为50分。</w:t>
      </w:r>
    </w:p>
    <w:tbl>
      <w:tblPr>
        <w:tblStyle w:val="20"/>
        <w:tblW w:w="10067"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34"/>
        <w:gridCol w:w="1160"/>
        <w:gridCol w:w="7873"/>
      </w:tblGrid>
      <w:tr w14:paraId="1C56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tblHeader/>
          <w:tblCellSpacing w:w="0" w:type="dxa"/>
          <w:jc w:val="center"/>
        </w:trPr>
        <w:tc>
          <w:tcPr>
            <w:tcW w:w="1034" w:type="dxa"/>
            <w:vAlign w:val="center"/>
          </w:tcPr>
          <w:p w14:paraId="1C664977">
            <w:pPr>
              <w:widowControl/>
              <w:spacing w:line="360" w:lineRule="auto"/>
              <w:jc w:val="center"/>
              <w:rPr>
                <w:rFonts w:hint="eastAsia" w:ascii="宋体" w:hAnsi="宋体" w:cs="宋体"/>
                <w:sz w:val="24"/>
              </w:rPr>
            </w:pPr>
            <w:r>
              <w:rPr>
                <w:rFonts w:hint="eastAsia" w:ascii="宋体" w:hAnsi="宋体" w:cs="宋体"/>
                <w:kern w:val="0"/>
                <w:sz w:val="24"/>
              </w:rPr>
              <w:t>评审项目</w:t>
            </w:r>
          </w:p>
        </w:tc>
        <w:tc>
          <w:tcPr>
            <w:tcW w:w="1160" w:type="dxa"/>
            <w:vAlign w:val="center"/>
          </w:tcPr>
          <w:p w14:paraId="1B1D1C05">
            <w:pPr>
              <w:widowControl/>
              <w:spacing w:line="360" w:lineRule="auto"/>
              <w:jc w:val="center"/>
              <w:rPr>
                <w:rFonts w:hint="eastAsia" w:ascii="宋体" w:hAnsi="宋体" w:cs="宋体"/>
                <w:sz w:val="24"/>
              </w:rPr>
            </w:pPr>
            <w:r>
              <w:rPr>
                <w:rFonts w:hint="eastAsia" w:ascii="宋体" w:hAnsi="宋体" w:cs="宋体"/>
                <w:kern w:val="0"/>
                <w:sz w:val="24"/>
              </w:rPr>
              <w:t>评审分值</w:t>
            </w:r>
          </w:p>
        </w:tc>
        <w:tc>
          <w:tcPr>
            <w:tcW w:w="7873" w:type="dxa"/>
            <w:vAlign w:val="center"/>
          </w:tcPr>
          <w:p w14:paraId="46C8B1B9">
            <w:pPr>
              <w:widowControl/>
              <w:spacing w:line="360" w:lineRule="auto"/>
              <w:jc w:val="center"/>
              <w:rPr>
                <w:rFonts w:hint="eastAsia" w:ascii="宋体" w:hAnsi="宋体" w:cs="宋体"/>
                <w:sz w:val="24"/>
              </w:rPr>
            </w:pPr>
            <w:r>
              <w:rPr>
                <w:rFonts w:hint="eastAsia" w:ascii="宋体" w:hAnsi="宋体" w:cs="宋体"/>
                <w:kern w:val="0"/>
                <w:sz w:val="24"/>
              </w:rPr>
              <w:t>评审方法描述</w:t>
            </w:r>
          </w:p>
        </w:tc>
      </w:tr>
      <w:tr w14:paraId="1B42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6" w:hRule="atLeast"/>
          <w:tblCellSpacing w:w="0" w:type="dxa"/>
          <w:jc w:val="center"/>
        </w:trPr>
        <w:tc>
          <w:tcPr>
            <w:tcW w:w="1034" w:type="dxa"/>
            <w:vAlign w:val="center"/>
          </w:tcPr>
          <w:p w14:paraId="4E92BEDD">
            <w:pPr>
              <w:pStyle w:val="17"/>
              <w:spacing w:line="360" w:lineRule="auto"/>
              <w:jc w:val="center"/>
              <w:rPr>
                <w:rFonts w:hint="eastAsia"/>
              </w:rPr>
            </w:pPr>
            <w:r>
              <w:rPr>
                <w:rFonts w:hint="eastAsia"/>
              </w:rPr>
              <w:t>价格评审</w:t>
            </w:r>
          </w:p>
        </w:tc>
        <w:tc>
          <w:tcPr>
            <w:tcW w:w="1160" w:type="dxa"/>
            <w:vAlign w:val="center"/>
          </w:tcPr>
          <w:p w14:paraId="6EB101F1">
            <w:pPr>
              <w:pStyle w:val="17"/>
              <w:spacing w:line="360" w:lineRule="auto"/>
              <w:ind w:right="-53" w:rightChars="-25"/>
              <w:jc w:val="center"/>
              <w:rPr>
                <w:rFonts w:hint="eastAsia"/>
              </w:rPr>
            </w:pPr>
            <w:r>
              <w:rPr>
                <w:rFonts w:hint="eastAsia"/>
              </w:rPr>
              <w:t>50分</w:t>
            </w:r>
          </w:p>
        </w:tc>
        <w:tc>
          <w:tcPr>
            <w:tcW w:w="7873" w:type="dxa"/>
            <w:vAlign w:val="center"/>
          </w:tcPr>
          <w:p w14:paraId="17A47CB4">
            <w:pPr>
              <w:pStyle w:val="17"/>
              <w:spacing w:before="0" w:beforeAutospacing="0" w:after="0" w:afterAutospacing="0"/>
              <w:rPr>
                <w:rFonts w:hint="eastAsia"/>
              </w:rPr>
            </w:pPr>
            <w:r>
              <w:rPr>
                <w:rFonts w:hint="eastAsia"/>
              </w:rPr>
              <w:t>价格分采用平均价计算，即满足</w:t>
            </w:r>
            <w:r>
              <w:rPr>
                <w:rFonts w:hint="eastAsia"/>
                <w:lang w:val="en-US" w:eastAsia="zh-CN"/>
              </w:rPr>
              <w:t>采购</w:t>
            </w:r>
            <w:r>
              <w:rPr>
                <w:rFonts w:hint="eastAsia"/>
              </w:rPr>
              <w:t>文件要求，各参选人报价的平均值作为参选基准价，其价格分为满分。（各参选人的报价为A，参选基准价为B）其他参选人的价格分统一按照下列公式计算：</w:t>
            </w:r>
          </w:p>
          <w:p w14:paraId="1C50CC80">
            <w:pPr>
              <w:pStyle w:val="17"/>
              <w:spacing w:before="0" w:beforeAutospacing="0" w:after="0" w:afterAutospacing="0"/>
              <w:rPr>
                <w:rFonts w:hint="eastAsia"/>
              </w:rPr>
            </w:pPr>
            <w:r>
              <w:rPr>
                <w:rFonts w:hint="eastAsia"/>
              </w:rPr>
              <w:t>价格分=50－</w:t>
            </w:r>
            <m:oMath>
              <m:f>
                <m:fPr>
                  <m:ctrlPr>
                    <w:rPr>
                      <w:rFonts w:hint="eastAsia" w:ascii="Cambria Math" w:hAnsi="Cambria Math"/>
                      <w:sz w:val="30"/>
                      <w:szCs w:val="30"/>
                    </w:rPr>
                  </m:ctrlPr>
                </m:fPr>
                <m:num>
                  <m:r>
                    <m:rPr>
                      <m:sty m:val="p"/>
                    </m:rPr>
                    <w:rPr>
                      <w:rFonts w:hint="eastAsia" w:ascii="Cambria Math" w:hAnsi="Cambria Math"/>
                      <w:sz w:val="30"/>
                      <w:szCs w:val="30"/>
                    </w:rPr>
                    <m:t>|A−B|</m:t>
                  </m:r>
                  <m:ctrlPr>
                    <w:rPr>
                      <w:rFonts w:hint="eastAsia" w:ascii="Cambria Math" w:hAnsi="Cambria Math"/>
                      <w:sz w:val="30"/>
                      <w:szCs w:val="30"/>
                    </w:rPr>
                  </m:ctrlPr>
                </m:num>
                <m:den>
                  <m:r>
                    <m:rPr>
                      <m:sty m:val="p"/>
                    </m:rPr>
                    <w:rPr>
                      <w:rFonts w:hint="eastAsia" w:ascii="Cambria Math" w:hAnsi="Cambria Math"/>
                      <w:sz w:val="30"/>
                      <w:szCs w:val="30"/>
                    </w:rPr>
                    <m:t>B</m:t>
                  </m:r>
                  <m:ctrlPr>
                    <w:rPr>
                      <w:rFonts w:hint="eastAsia" w:ascii="Cambria Math" w:hAnsi="Cambria Math"/>
                      <w:sz w:val="30"/>
                      <w:szCs w:val="30"/>
                    </w:rPr>
                  </m:ctrlPr>
                </m:den>
              </m:f>
            </m:oMath>
            <w:r>
              <w:rPr>
                <w:rFonts w:hint="eastAsia"/>
              </w:rPr>
              <w:t>×50×Q。</w:t>
            </w:r>
          </w:p>
          <w:p w14:paraId="62C20C6F">
            <w:pPr>
              <w:pStyle w:val="17"/>
              <w:spacing w:before="0" w:beforeAutospacing="0" w:after="0" w:afterAutospacing="0"/>
              <w:rPr>
                <w:rFonts w:hint="eastAsia"/>
              </w:rPr>
            </w:pPr>
            <w:r>
              <w:rPr>
                <w:rFonts w:hint="eastAsia"/>
              </w:rPr>
              <w:t>Q为折价分值，参选报价﹥参选基准价时，Q=1；反之,参选报价≤参选基准价时，Q=0.5。</w:t>
            </w:r>
          </w:p>
          <w:p w14:paraId="4963F888"/>
        </w:tc>
      </w:tr>
    </w:tbl>
    <w:p w14:paraId="5BF8F89E">
      <w:pPr>
        <w:pStyle w:val="17"/>
        <w:spacing w:before="0" w:beforeAutospacing="0" w:after="0" w:afterAutospacing="0" w:line="360" w:lineRule="auto"/>
        <w:ind w:firstLine="480" w:firstLineChars="200"/>
        <w:jc w:val="both"/>
        <w:textAlignment w:val="baseline"/>
        <w:rPr>
          <w:rFonts w:hint="eastAsia"/>
        </w:rPr>
      </w:pPr>
    </w:p>
    <w:p w14:paraId="76C0DB03">
      <w:pPr>
        <w:pStyle w:val="17"/>
        <w:spacing w:before="0" w:beforeAutospacing="0" w:after="0" w:afterAutospacing="0" w:line="360" w:lineRule="auto"/>
        <w:ind w:firstLine="480" w:firstLineChars="200"/>
        <w:jc w:val="both"/>
        <w:textAlignment w:val="baseline"/>
        <w:rPr>
          <w:rFonts w:hint="eastAsia"/>
        </w:rPr>
      </w:pPr>
    </w:p>
    <w:p w14:paraId="66914E02">
      <w:pPr>
        <w:pStyle w:val="17"/>
        <w:spacing w:before="0" w:beforeAutospacing="0" w:after="0" w:afterAutospacing="0" w:line="360" w:lineRule="auto"/>
        <w:ind w:firstLine="480" w:firstLineChars="200"/>
        <w:jc w:val="both"/>
        <w:textAlignment w:val="baseline"/>
        <w:rPr>
          <w:rFonts w:hint="eastAsia"/>
        </w:rPr>
      </w:pPr>
    </w:p>
    <w:p w14:paraId="1D3B53F9">
      <w:pPr>
        <w:pStyle w:val="17"/>
        <w:spacing w:before="0" w:beforeAutospacing="0" w:after="0" w:afterAutospacing="0" w:line="360" w:lineRule="auto"/>
        <w:ind w:firstLine="480" w:firstLineChars="200"/>
        <w:jc w:val="both"/>
        <w:textAlignment w:val="baseline"/>
        <w:rPr>
          <w:rFonts w:hint="eastAsia"/>
        </w:rPr>
      </w:pPr>
    </w:p>
    <w:p w14:paraId="79669C03">
      <w:pPr>
        <w:pStyle w:val="17"/>
        <w:spacing w:before="0" w:beforeAutospacing="0" w:after="0" w:afterAutospacing="0" w:line="360" w:lineRule="auto"/>
        <w:ind w:firstLine="480" w:firstLineChars="200"/>
        <w:jc w:val="both"/>
        <w:textAlignment w:val="baseline"/>
        <w:rPr>
          <w:rFonts w:hint="eastAsia"/>
        </w:rPr>
      </w:pPr>
    </w:p>
    <w:p w14:paraId="707C1E64">
      <w:pPr>
        <w:pStyle w:val="17"/>
        <w:spacing w:before="0" w:beforeAutospacing="0" w:after="0" w:afterAutospacing="0" w:line="360" w:lineRule="auto"/>
        <w:ind w:firstLine="480" w:firstLineChars="200"/>
        <w:jc w:val="both"/>
        <w:textAlignment w:val="baseline"/>
        <w:rPr>
          <w:rFonts w:hint="eastAsia"/>
        </w:rPr>
      </w:pPr>
      <w:r>
        <w:rPr>
          <w:rFonts w:hint="eastAsia"/>
        </w:rPr>
        <w:t>（2）技术项（F2）满分为35分。</w:t>
      </w:r>
    </w:p>
    <w:tbl>
      <w:tblPr>
        <w:tblStyle w:val="20"/>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274"/>
        <w:gridCol w:w="1231"/>
        <w:gridCol w:w="679"/>
        <w:gridCol w:w="6185"/>
      </w:tblGrid>
      <w:tr w14:paraId="6DF0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2" w:type="dxa"/>
            <w:tcBorders>
              <w:top w:val="single" w:color="auto" w:sz="4" w:space="0"/>
              <w:left w:val="single" w:color="auto" w:sz="4" w:space="0"/>
              <w:bottom w:val="single" w:color="auto" w:sz="4" w:space="0"/>
              <w:right w:val="single" w:color="auto" w:sz="4" w:space="0"/>
            </w:tcBorders>
            <w:vAlign w:val="center"/>
          </w:tcPr>
          <w:p w14:paraId="64A6D38B">
            <w:pPr>
              <w:pStyle w:val="25"/>
              <w:autoSpaceDE w:val="0"/>
              <w:autoSpaceDN w:val="0"/>
              <w:ind w:firstLine="0" w:firstLineChars="0"/>
              <w:jc w:val="center"/>
              <w:rPr>
                <w:rFonts w:hint="eastAsia" w:ascii="宋体" w:hAnsi="宋体" w:cs="宋体"/>
                <w:snapToGrid w:val="0"/>
                <w:sz w:val="24"/>
                <w:szCs w:val="24"/>
              </w:rPr>
            </w:pPr>
            <w:r>
              <w:rPr>
                <w:rFonts w:hint="eastAsia" w:ascii="宋体" w:hAnsi="宋体" w:cs="宋体"/>
                <w:snapToGrid w:val="0"/>
                <w:sz w:val="24"/>
                <w:szCs w:val="24"/>
              </w:rPr>
              <w:t>序号</w:t>
            </w:r>
          </w:p>
        </w:tc>
        <w:tc>
          <w:tcPr>
            <w:tcW w:w="1274" w:type="dxa"/>
            <w:tcBorders>
              <w:top w:val="single" w:color="auto" w:sz="4" w:space="0"/>
              <w:left w:val="single" w:color="auto" w:sz="4" w:space="0"/>
              <w:bottom w:val="single" w:color="auto" w:sz="4" w:space="0"/>
              <w:right w:val="single" w:color="auto" w:sz="4" w:space="0"/>
            </w:tcBorders>
            <w:vAlign w:val="center"/>
          </w:tcPr>
          <w:p w14:paraId="6F0E6704">
            <w:pPr>
              <w:jc w:val="center"/>
              <w:rPr>
                <w:rFonts w:hint="eastAsia" w:ascii="宋体" w:hAnsi="宋体" w:cs="宋体"/>
              </w:rPr>
            </w:pPr>
            <w:r>
              <w:rPr>
                <w:rFonts w:hint="eastAsia" w:ascii="宋体" w:hAnsi="宋体" w:cs="宋体"/>
              </w:rPr>
              <w:t>评审条款及分值</w:t>
            </w:r>
          </w:p>
        </w:tc>
        <w:tc>
          <w:tcPr>
            <w:tcW w:w="1231" w:type="dxa"/>
            <w:tcBorders>
              <w:top w:val="single" w:color="auto" w:sz="4" w:space="0"/>
              <w:left w:val="single" w:color="auto" w:sz="4" w:space="0"/>
              <w:bottom w:val="single" w:color="auto" w:sz="4" w:space="0"/>
              <w:right w:val="single" w:color="auto" w:sz="4" w:space="0"/>
            </w:tcBorders>
            <w:vAlign w:val="center"/>
          </w:tcPr>
          <w:p w14:paraId="1692F765">
            <w:pPr>
              <w:pStyle w:val="25"/>
              <w:autoSpaceDE w:val="0"/>
              <w:autoSpaceDN w:val="0"/>
              <w:ind w:firstLine="0" w:firstLineChars="0"/>
              <w:jc w:val="center"/>
              <w:rPr>
                <w:rFonts w:hint="eastAsia" w:ascii="宋体" w:hAnsi="宋体" w:cs="宋体"/>
                <w:snapToGrid w:val="0"/>
                <w:sz w:val="24"/>
                <w:szCs w:val="24"/>
              </w:rPr>
            </w:pPr>
            <w:r>
              <w:rPr>
                <w:rFonts w:hint="eastAsia" w:ascii="宋体" w:hAnsi="宋体" w:cs="宋体"/>
                <w:snapToGrid w:val="0"/>
                <w:sz w:val="24"/>
                <w:szCs w:val="24"/>
              </w:rPr>
              <w:t>评审条款</w:t>
            </w:r>
          </w:p>
        </w:tc>
        <w:tc>
          <w:tcPr>
            <w:tcW w:w="679" w:type="dxa"/>
            <w:tcBorders>
              <w:top w:val="single" w:color="auto" w:sz="4" w:space="0"/>
              <w:left w:val="single" w:color="auto" w:sz="4" w:space="0"/>
              <w:bottom w:val="single" w:color="auto" w:sz="4" w:space="0"/>
              <w:right w:val="single" w:color="auto" w:sz="4" w:space="0"/>
            </w:tcBorders>
            <w:vAlign w:val="center"/>
          </w:tcPr>
          <w:p w14:paraId="1F29A9BF">
            <w:pPr>
              <w:pStyle w:val="25"/>
              <w:autoSpaceDE w:val="0"/>
              <w:autoSpaceDN w:val="0"/>
              <w:ind w:firstLine="0" w:firstLineChars="0"/>
              <w:jc w:val="center"/>
              <w:rPr>
                <w:rFonts w:hint="eastAsia" w:ascii="宋体" w:hAnsi="宋体" w:cs="宋体"/>
                <w:snapToGrid w:val="0"/>
                <w:sz w:val="24"/>
                <w:szCs w:val="24"/>
              </w:rPr>
            </w:pPr>
            <w:r>
              <w:rPr>
                <w:rFonts w:hint="eastAsia" w:ascii="宋体" w:hAnsi="宋体" w:cs="宋体"/>
                <w:snapToGrid w:val="0"/>
                <w:sz w:val="24"/>
                <w:szCs w:val="24"/>
              </w:rPr>
              <w:t>分值</w:t>
            </w:r>
          </w:p>
        </w:tc>
        <w:tc>
          <w:tcPr>
            <w:tcW w:w="6185" w:type="dxa"/>
            <w:tcBorders>
              <w:top w:val="single" w:color="auto" w:sz="4" w:space="0"/>
              <w:left w:val="single" w:color="auto" w:sz="4" w:space="0"/>
              <w:bottom w:val="single" w:color="auto" w:sz="4" w:space="0"/>
              <w:right w:val="single" w:color="auto" w:sz="4" w:space="0"/>
            </w:tcBorders>
            <w:vAlign w:val="center"/>
          </w:tcPr>
          <w:p w14:paraId="1C61C5E0">
            <w:pPr>
              <w:pStyle w:val="25"/>
              <w:autoSpaceDE w:val="0"/>
              <w:autoSpaceDN w:val="0"/>
              <w:ind w:firstLine="0" w:firstLineChars="0"/>
              <w:jc w:val="center"/>
              <w:rPr>
                <w:rFonts w:hint="eastAsia" w:ascii="宋体" w:hAnsi="宋体" w:cs="宋体"/>
                <w:snapToGrid w:val="0"/>
                <w:sz w:val="24"/>
                <w:szCs w:val="24"/>
              </w:rPr>
            </w:pPr>
            <w:r>
              <w:rPr>
                <w:rFonts w:hint="eastAsia" w:ascii="宋体" w:hAnsi="宋体" w:cs="宋体"/>
                <w:snapToGrid w:val="0"/>
                <w:sz w:val="24"/>
                <w:szCs w:val="24"/>
              </w:rPr>
              <w:t>评审细则</w:t>
            </w:r>
          </w:p>
        </w:tc>
      </w:tr>
      <w:tr w14:paraId="500D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3" w:hRule="atLeast"/>
          <w:jc w:val="center"/>
        </w:trPr>
        <w:tc>
          <w:tcPr>
            <w:tcW w:w="552" w:type="dxa"/>
            <w:vMerge w:val="restart"/>
            <w:tcBorders>
              <w:top w:val="single" w:color="auto" w:sz="4" w:space="0"/>
              <w:left w:val="single" w:color="auto" w:sz="4" w:space="0"/>
              <w:right w:val="single" w:color="auto" w:sz="4" w:space="0"/>
            </w:tcBorders>
            <w:vAlign w:val="center"/>
          </w:tcPr>
          <w:p w14:paraId="4F9E6BF2">
            <w:pPr>
              <w:pStyle w:val="25"/>
              <w:autoSpaceDE w:val="0"/>
              <w:autoSpaceDN w:val="0"/>
              <w:spacing w:line="560" w:lineRule="exact"/>
              <w:ind w:firstLine="0" w:firstLineChars="0"/>
              <w:jc w:val="center"/>
              <w:rPr>
                <w:rFonts w:hint="eastAsia" w:ascii="宋体" w:hAnsi="宋体" w:cs="宋体"/>
                <w:snapToGrid w:val="0"/>
                <w:sz w:val="24"/>
                <w:szCs w:val="24"/>
              </w:rPr>
            </w:pPr>
          </w:p>
        </w:tc>
        <w:tc>
          <w:tcPr>
            <w:tcW w:w="1274" w:type="dxa"/>
            <w:vMerge w:val="restart"/>
            <w:tcBorders>
              <w:top w:val="single" w:color="auto" w:sz="4" w:space="0"/>
              <w:left w:val="single" w:color="auto" w:sz="4" w:space="0"/>
              <w:right w:val="single" w:color="auto" w:sz="4" w:space="0"/>
            </w:tcBorders>
            <w:vAlign w:val="center"/>
          </w:tcPr>
          <w:p w14:paraId="0BA010D6">
            <w:pPr>
              <w:pStyle w:val="25"/>
              <w:autoSpaceDE w:val="0"/>
              <w:autoSpaceDN w:val="0"/>
              <w:spacing w:line="560" w:lineRule="exact"/>
              <w:ind w:firstLine="0" w:firstLineChars="0"/>
              <w:rPr>
                <w:rFonts w:hint="eastAsia" w:ascii="宋体" w:hAnsi="宋体" w:cs="宋体"/>
                <w:snapToGrid w:val="0"/>
                <w:sz w:val="24"/>
                <w:szCs w:val="24"/>
              </w:rPr>
            </w:pPr>
            <w:r>
              <w:rPr>
                <w:rFonts w:hint="eastAsia" w:ascii="宋体" w:hAnsi="宋体" w:cs="宋体"/>
                <w:snapToGrid w:val="0"/>
                <w:sz w:val="24"/>
                <w:szCs w:val="24"/>
              </w:rPr>
              <w:t>技术评分（35分）</w:t>
            </w:r>
          </w:p>
        </w:tc>
        <w:tc>
          <w:tcPr>
            <w:tcW w:w="1231" w:type="dxa"/>
            <w:tcBorders>
              <w:top w:val="single" w:color="auto" w:sz="4" w:space="0"/>
              <w:left w:val="single" w:color="auto" w:sz="4" w:space="0"/>
              <w:bottom w:val="single" w:color="auto" w:sz="4" w:space="0"/>
              <w:right w:val="single" w:color="auto" w:sz="4" w:space="0"/>
            </w:tcBorders>
            <w:vAlign w:val="center"/>
          </w:tcPr>
          <w:p w14:paraId="16B2A721">
            <w:pPr>
              <w:rPr>
                <w:rFonts w:hint="eastAsia" w:ascii="宋体" w:hAnsi="宋体" w:cs="宋体"/>
                <w:sz w:val="24"/>
              </w:rPr>
            </w:pPr>
            <w:r>
              <w:rPr>
                <w:rFonts w:hint="eastAsia" w:ascii="宋体" w:hAnsi="宋体" w:cs="宋体"/>
                <w:sz w:val="24"/>
              </w:rPr>
              <w:t>项目人员配置</w:t>
            </w:r>
          </w:p>
        </w:tc>
        <w:tc>
          <w:tcPr>
            <w:tcW w:w="679" w:type="dxa"/>
            <w:tcBorders>
              <w:top w:val="single" w:color="auto" w:sz="4" w:space="0"/>
              <w:left w:val="single" w:color="auto" w:sz="4" w:space="0"/>
              <w:bottom w:val="single" w:color="auto" w:sz="4" w:space="0"/>
              <w:right w:val="single" w:color="auto" w:sz="4" w:space="0"/>
            </w:tcBorders>
            <w:vAlign w:val="center"/>
          </w:tcPr>
          <w:p w14:paraId="5EC2581B">
            <w:pPr>
              <w:pStyle w:val="25"/>
              <w:autoSpaceDE w:val="0"/>
              <w:autoSpaceDN w:val="0"/>
              <w:spacing w:line="560" w:lineRule="exact"/>
              <w:ind w:firstLine="0" w:firstLineChars="0"/>
              <w:jc w:val="center"/>
              <w:rPr>
                <w:rFonts w:hint="eastAsia" w:ascii="宋体" w:hAnsi="宋体" w:cs="宋体"/>
                <w:sz w:val="24"/>
                <w:szCs w:val="24"/>
              </w:rPr>
            </w:pPr>
            <w:r>
              <w:rPr>
                <w:rFonts w:hint="eastAsia" w:ascii="宋体" w:hAnsi="宋体" w:cs="宋体"/>
                <w:sz w:val="24"/>
                <w:szCs w:val="24"/>
              </w:rPr>
              <w:t>12</w:t>
            </w:r>
          </w:p>
        </w:tc>
        <w:tc>
          <w:tcPr>
            <w:tcW w:w="6185" w:type="dxa"/>
            <w:tcBorders>
              <w:top w:val="single" w:color="auto" w:sz="4" w:space="0"/>
              <w:left w:val="single" w:color="auto" w:sz="4" w:space="0"/>
              <w:bottom w:val="single" w:color="auto" w:sz="4" w:space="0"/>
              <w:right w:val="single" w:color="auto" w:sz="4" w:space="0"/>
            </w:tcBorders>
            <w:vAlign w:val="center"/>
          </w:tcPr>
          <w:p w14:paraId="60BAE9B6">
            <w:pPr>
              <w:pStyle w:val="25"/>
              <w:autoSpaceDE w:val="0"/>
              <w:autoSpaceDN w:val="0"/>
              <w:ind w:firstLine="0" w:firstLineChars="0"/>
              <w:rPr>
                <w:rFonts w:hint="eastAsia" w:ascii="宋体" w:hAnsi="宋体" w:cs="宋体"/>
                <w:sz w:val="24"/>
                <w:szCs w:val="24"/>
              </w:rPr>
            </w:pPr>
            <w:r>
              <w:rPr>
                <w:rFonts w:hint="eastAsia" w:ascii="宋体" w:hAnsi="宋体" w:cs="宋体"/>
                <w:sz w:val="24"/>
                <w:szCs w:val="24"/>
              </w:rPr>
              <w:t>（一）项目负责人（4分）：</w:t>
            </w:r>
          </w:p>
          <w:p w14:paraId="7DA4C627">
            <w:pPr>
              <w:pStyle w:val="25"/>
              <w:autoSpaceDE w:val="0"/>
              <w:autoSpaceDN w:val="0"/>
              <w:ind w:firstLine="0" w:firstLineChars="0"/>
              <w:rPr>
                <w:rFonts w:hint="eastAsia" w:ascii="宋体" w:hAnsi="宋体" w:cs="宋体"/>
                <w:sz w:val="24"/>
                <w:szCs w:val="24"/>
              </w:rPr>
            </w:pPr>
            <w:r>
              <w:rPr>
                <w:rFonts w:hint="eastAsia" w:ascii="宋体" w:hAnsi="宋体" w:cs="宋体"/>
                <w:sz w:val="24"/>
                <w:szCs w:val="24"/>
              </w:rPr>
              <w:t>1、无高级职称得0分，具备高级职称得2分，本小项最高得2分；</w:t>
            </w:r>
          </w:p>
          <w:p w14:paraId="3552BA9C">
            <w:pPr>
              <w:pStyle w:val="25"/>
              <w:autoSpaceDE w:val="0"/>
              <w:autoSpaceDN w:val="0"/>
              <w:ind w:firstLine="0" w:firstLineChars="0"/>
              <w:rPr>
                <w:rFonts w:hint="eastAsia" w:ascii="宋体" w:hAnsi="宋体" w:cs="宋体"/>
                <w:sz w:val="24"/>
                <w:szCs w:val="24"/>
              </w:rPr>
            </w:pPr>
            <w:r>
              <w:rPr>
                <w:rFonts w:hint="eastAsia" w:ascii="宋体" w:hAnsi="宋体" w:cs="宋体"/>
                <w:sz w:val="24"/>
                <w:szCs w:val="24"/>
              </w:rPr>
              <w:t>2、担任过单项合同金额在10万以上体系认证或安全标准化评价项目的项目负责人，且该业绩项目所属行</w:t>
            </w:r>
            <w:r>
              <w:rPr>
                <w:rFonts w:hint="eastAsia" w:ascii="宋体" w:hAnsi="宋体" w:cs="宋体"/>
                <w:sz w:val="24"/>
                <w:szCs w:val="24"/>
                <w:lang w:val="en-US" w:eastAsia="zh-CN"/>
              </w:rPr>
              <w:t>业为</w:t>
            </w:r>
            <w:r>
              <w:rPr>
                <w:rFonts w:hint="eastAsia" w:ascii="宋体" w:hAnsi="宋体" w:cs="宋体"/>
                <w:sz w:val="24"/>
                <w:szCs w:val="24"/>
              </w:rPr>
              <w:t>化工行业的加2分，否则不得分；本小项最高得2分；</w:t>
            </w:r>
          </w:p>
          <w:p w14:paraId="41CDB0A3">
            <w:pPr>
              <w:adjustRightInd w:val="0"/>
              <w:snapToGrid w:val="0"/>
              <w:jc w:val="left"/>
              <w:rPr>
                <w:rFonts w:hint="eastAsia" w:ascii="宋体" w:hAnsi="宋体" w:cs="宋体"/>
                <w:sz w:val="24"/>
              </w:rPr>
            </w:pPr>
            <w:r>
              <w:rPr>
                <w:rFonts w:ascii="宋体" w:hAnsi="宋体" w:cs="宋体"/>
                <w:sz w:val="24"/>
              </w:rPr>
              <w:t>（二）项目组成员（8分）：</w:t>
            </w:r>
          </w:p>
          <w:p w14:paraId="0AFE3F60">
            <w:pPr>
              <w:adjustRightInd w:val="0"/>
              <w:snapToGrid w:val="0"/>
              <w:jc w:val="left"/>
              <w:rPr>
                <w:rFonts w:hint="eastAsia" w:ascii="宋体" w:hAnsi="宋体" w:cs="宋体"/>
                <w:sz w:val="24"/>
              </w:rPr>
            </w:pPr>
            <w:r>
              <w:rPr>
                <w:rFonts w:ascii="宋体" w:hAnsi="宋体" w:cs="宋体"/>
                <w:sz w:val="24"/>
              </w:rPr>
              <w:t>1、每有1个项目成员具备中级</w:t>
            </w:r>
            <w:r>
              <w:rPr>
                <w:rFonts w:hint="eastAsia" w:ascii="宋体" w:hAnsi="宋体" w:cs="宋体"/>
                <w:sz w:val="24"/>
              </w:rPr>
              <w:t>及以上</w:t>
            </w:r>
            <w:r>
              <w:rPr>
                <w:rFonts w:ascii="宋体" w:hAnsi="宋体" w:cs="宋体"/>
                <w:sz w:val="24"/>
              </w:rPr>
              <w:t>职称</w:t>
            </w:r>
            <w:r>
              <w:rPr>
                <w:rFonts w:hint="eastAsia" w:ascii="宋体" w:hAnsi="宋体" w:cs="宋体"/>
                <w:sz w:val="24"/>
              </w:rPr>
              <w:t>且具备质量、环境、职业健康安全注册审核员</w:t>
            </w:r>
            <w:r>
              <w:rPr>
                <w:rFonts w:ascii="宋体" w:hAnsi="宋体" w:cs="宋体"/>
                <w:sz w:val="24"/>
              </w:rPr>
              <w:t>得</w:t>
            </w:r>
            <w:r>
              <w:rPr>
                <w:rFonts w:hint="eastAsia" w:ascii="宋体" w:hAnsi="宋体" w:cs="宋体"/>
                <w:sz w:val="24"/>
              </w:rPr>
              <w:t>1</w:t>
            </w:r>
            <w:r>
              <w:rPr>
                <w:rFonts w:ascii="宋体" w:hAnsi="宋体" w:cs="宋体"/>
                <w:sz w:val="24"/>
              </w:rPr>
              <w:t>分，最高得</w:t>
            </w:r>
            <w:r>
              <w:rPr>
                <w:rFonts w:hint="eastAsia" w:ascii="宋体" w:hAnsi="宋体" w:cs="宋体"/>
                <w:sz w:val="24"/>
              </w:rPr>
              <w:t>4</w:t>
            </w:r>
            <w:r>
              <w:rPr>
                <w:rFonts w:ascii="宋体" w:hAnsi="宋体" w:cs="宋体"/>
                <w:sz w:val="24"/>
              </w:rPr>
              <w:t>分。</w:t>
            </w:r>
          </w:p>
          <w:p w14:paraId="56D1F767">
            <w:pPr>
              <w:adjustRightInd w:val="0"/>
              <w:snapToGrid w:val="0"/>
              <w:jc w:val="left"/>
              <w:rPr>
                <w:rFonts w:hint="eastAsia" w:ascii="宋体" w:hAnsi="宋体" w:cs="宋体"/>
                <w:sz w:val="24"/>
              </w:rPr>
            </w:pPr>
            <w:r>
              <w:rPr>
                <w:rFonts w:ascii="宋体" w:hAnsi="宋体" w:cs="宋体"/>
                <w:sz w:val="24"/>
              </w:rPr>
              <w:t>2、</w:t>
            </w:r>
            <w:r>
              <w:rPr>
                <w:rFonts w:hint="eastAsia" w:ascii="宋体" w:hAnsi="宋体" w:cs="宋体"/>
                <w:color w:val="auto"/>
                <w:sz w:val="24"/>
              </w:rPr>
              <w:t>每有1个项目成员具备中级及以上职称且具备注册安全工程师，</w:t>
            </w:r>
            <w:r>
              <w:rPr>
                <w:rFonts w:hint="eastAsia" w:ascii="宋体" w:hAnsi="宋体" w:cs="宋体"/>
                <w:color w:val="auto"/>
                <w:sz w:val="24"/>
                <w:lang w:val="en-US" w:eastAsia="zh-CN"/>
              </w:rPr>
              <w:t>或</w:t>
            </w:r>
            <w:r>
              <w:rPr>
                <w:rFonts w:hint="eastAsia" w:ascii="宋体" w:hAnsi="宋体" w:cs="宋体"/>
                <w:color w:val="auto"/>
                <w:sz w:val="24"/>
              </w:rPr>
              <w:t>具备注册安全工程师且</w:t>
            </w:r>
            <w:r>
              <w:rPr>
                <w:rFonts w:hint="eastAsia" w:ascii="宋体" w:hAnsi="宋体" w:cs="宋体"/>
                <w:color w:val="auto"/>
                <w:sz w:val="24"/>
                <w:lang w:val="en-US" w:eastAsia="zh-CN"/>
              </w:rPr>
              <w:t>具备</w:t>
            </w:r>
            <w:r>
              <w:rPr>
                <w:rFonts w:hint="eastAsia" w:ascii="宋体" w:hAnsi="宋体" w:cs="宋体"/>
                <w:color w:val="auto"/>
                <w:sz w:val="24"/>
              </w:rPr>
              <w:t>安全标准化考评员</w:t>
            </w:r>
            <w:r>
              <w:rPr>
                <w:rFonts w:hint="eastAsia" w:ascii="宋体" w:hAnsi="宋体" w:cs="宋体"/>
                <w:color w:val="auto"/>
                <w:sz w:val="24"/>
                <w:lang w:val="en-US" w:eastAsia="zh-CN"/>
              </w:rPr>
              <w:t>资格</w:t>
            </w:r>
            <w:r>
              <w:rPr>
                <w:rFonts w:hint="eastAsia" w:ascii="宋体" w:hAnsi="宋体" w:cs="宋体"/>
                <w:color w:val="auto"/>
                <w:sz w:val="24"/>
              </w:rPr>
              <w:t>（提供考评员资格证明）得1分，最高得4分</w:t>
            </w:r>
            <w:r>
              <w:rPr>
                <w:rFonts w:ascii="宋体" w:hAnsi="宋体" w:cs="宋体"/>
                <w:color w:val="auto"/>
                <w:sz w:val="24"/>
              </w:rPr>
              <w:t>。</w:t>
            </w:r>
          </w:p>
        </w:tc>
      </w:tr>
      <w:tr w14:paraId="2ACB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552" w:type="dxa"/>
            <w:vMerge w:val="continue"/>
            <w:tcBorders>
              <w:left w:val="single" w:color="auto" w:sz="4" w:space="0"/>
              <w:right w:val="single" w:color="auto" w:sz="4" w:space="0"/>
            </w:tcBorders>
            <w:vAlign w:val="center"/>
          </w:tcPr>
          <w:p w14:paraId="1EC80562">
            <w:pPr>
              <w:pStyle w:val="25"/>
              <w:autoSpaceDE w:val="0"/>
              <w:autoSpaceDN w:val="0"/>
              <w:spacing w:line="560" w:lineRule="exact"/>
              <w:ind w:firstLine="0" w:firstLineChars="0"/>
              <w:jc w:val="center"/>
              <w:rPr>
                <w:rFonts w:hint="eastAsia" w:ascii="宋体" w:hAnsi="宋体" w:cs="宋体"/>
                <w:snapToGrid w:val="0"/>
                <w:sz w:val="24"/>
                <w:szCs w:val="24"/>
              </w:rPr>
            </w:pPr>
          </w:p>
        </w:tc>
        <w:tc>
          <w:tcPr>
            <w:tcW w:w="1274" w:type="dxa"/>
            <w:vMerge w:val="continue"/>
            <w:tcBorders>
              <w:left w:val="single" w:color="auto" w:sz="4" w:space="0"/>
              <w:right w:val="single" w:color="auto" w:sz="4" w:space="0"/>
            </w:tcBorders>
            <w:vAlign w:val="center"/>
          </w:tcPr>
          <w:p w14:paraId="7A834515">
            <w:pPr>
              <w:pStyle w:val="25"/>
              <w:autoSpaceDE w:val="0"/>
              <w:autoSpaceDN w:val="0"/>
              <w:spacing w:line="560" w:lineRule="exact"/>
              <w:ind w:firstLine="0" w:firstLineChars="0"/>
              <w:rPr>
                <w:rFonts w:hint="eastAsia" w:ascii="宋体" w:hAnsi="宋体" w:cs="宋体"/>
                <w:snapToGrid w:val="0"/>
                <w:sz w:val="24"/>
                <w:szCs w:val="24"/>
              </w:rPr>
            </w:pPr>
          </w:p>
        </w:tc>
        <w:tc>
          <w:tcPr>
            <w:tcW w:w="1231" w:type="dxa"/>
            <w:tcBorders>
              <w:top w:val="single" w:color="auto" w:sz="4" w:space="0"/>
              <w:left w:val="single" w:color="auto" w:sz="4" w:space="0"/>
              <w:bottom w:val="single" w:color="auto" w:sz="4" w:space="0"/>
              <w:right w:val="single" w:color="auto" w:sz="4" w:space="0"/>
            </w:tcBorders>
            <w:vAlign w:val="center"/>
          </w:tcPr>
          <w:p w14:paraId="18FE3795">
            <w:pPr>
              <w:rPr>
                <w:rFonts w:hint="eastAsia" w:ascii="宋体" w:hAnsi="宋体" w:cs="宋体"/>
                <w:sz w:val="24"/>
              </w:rPr>
            </w:pPr>
            <w:r>
              <w:rPr>
                <w:rFonts w:hint="eastAsia" w:ascii="宋体" w:hAnsi="宋体" w:cs="宋体"/>
                <w:sz w:val="24"/>
              </w:rPr>
              <w:t>项目组织实施保障</w:t>
            </w:r>
          </w:p>
        </w:tc>
        <w:tc>
          <w:tcPr>
            <w:tcW w:w="679" w:type="dxa"/>
            <w:tcBorders>
              <w:top w:val="single" w:color="auto" w:sz="4" w:space="0"/>
              <w:left w:val="single" w:color="auto" w:sz="4" w:space="0"/>
              <w:bottom w:val="single" w:color="auto" w:sz="4" w:space="0"/>
              <w:right w:val="single" w:color="auto" w:sz="4" w:space="0"/>
            </w:tcBorders>
            <w:vAlign w:val="center"/>
          </w:tcPr>
          <w:p w14:paraId="6BA719D4">
            <w:pPr>
              <w:pStyle w:val="25"/>
              <w:autoSpaceDE w:val="0"/>
              <w:autoSpaceDN w:val="0"/>
              <w:spacing w:line="560" w:lineRule="exact"/>
              <w:ind w:firstLine="0" w:firstLineChars="0"/>
              <w:jc w:val="center"/>
              <w:rPr>
                <w:rFonts w:hint="eastAsia" w:ascii="宋体" w:hAnsi="宋体" w:cs="宋体"/>
                <w:sz w:val="24"/>
                <w:szCs w:val="24"/>
              </w:rPr>
            </w:pPr>
            <w:r>
              <w:rPr>
                <w:rFonts w:hint="eastAsia" w:ascii="宋体" w:hAnsi="宋体" w:cs="宋体"/>
                <w:sz w:val="24"/>
                <w:szCs w:val="24"/>
              </w:rPr>
              <w:t>6</w:t>
            </w:r>
          </w:p>
        </w:tc>
        <w:tc>
          <w:tcPr>
            <w:tcW w:w="6185" w:type="dxa"/>
            <w:tcBorders>
              <w:top w:val="single" w:color="auto" w:sz="4" w:space="0"/>
              <w:left w:val="single" w:color="auto" w:sz="4" w:space="0"/>
              <w:bottom w:val="single" w:color="auto" w:sz="4" w:space="0"/>
              <w:right w:val="single" w:color="auto" w:sz="4" w:space="0"/>
            </w:tcBorders>
            <w:vAlign w:val="center"/>
          </w:tcPr>
          <w:p w14:paraId="0496DDE5">
            <w:pPr>
              <w:pStyle w:val="25"/>
              <w:autoSpaceDE w:val="0"/>
              <w:autoSpaceDN w:val="0"/>
              <w:ind w:firstLine="0" w:firstLineChars="0"/>
              <w:rPr>
                <w:rFonts w:hint="eastAsia" w:ascii="宋体" w:hAnsi="宋体" w:cs="宋体"/>
                <w:sz w:val="24"/>
                <w:szCs w:val="24"/>
              </w:rPr>
            </w:pPr>
            <w:r>
              <w:rPr>
                <w:rFonts w:hint="eastAsia" w:ascii="宋体" w:hAnsi="宋体" w:cs="宋体"/>
                <w:sz w:val="24"/>
                <w:szCs w:val="24"/>
              </w:rPr>
              <w:t>根据参选人对项目整体组织实施的保障方案进行评分，包括项目的人员组织是否合理，异常情况如何处置，组织方案优得</w:t>
            </w:r>
            <w:r>
              <w:rPr>
                <w:rFonts w:hint="eastAsia" w:ascii="宋体" w:hAnsi="宋体" w:cs="宋体"/>
                <w:sz w:val="24"/>
                <w:szCs w:val="24"/>
                <w:lang w:val="en-US" w:eastAsia="zh-CN"/>
              </w:rPr>
              <w:t>5</w:t>
            </w:r>
            <w:r>
              <w:rPr>
                <w:rFonts w:hint="eastAsia" w:ascii="宋体" w:hAnsi="宋体" w:cs="宋体"/>
                <w:sz w:val="24"/>
                <w:szCs w:val="24"/>
              </w:rPr>
              <w:t>分-6分，良得</w:t>
            </w:r>
            <w:r>
              <w:rPr>
                <w:rFonts w:hint="eastAsia" w:ascii="宋体" w:hAnsi="宋体" w:cs="宋体"/>
                <w:sz w:val="24"/>
                <w:szCs w:val="24"/>
                <w:lang w:val="en-US" w:eastAsia="zh-CN"/>
              </w:rPr>
              <w:t>3</w:t>
            </w:r>
            <w:r>
              <w:rPr>
                <w:rFonts w:hint="eastAsia" w:ascii="宋体" w:hAnsi="宋体" w:cs="宋体"/>
                <w:sz w:val="24"/>
                <w:szCs w:val="24"/>
              </w:rPr>
              <w:t>分-4分，一般得</w:t>
            </w:r>
            <w:r>
              <w:rPr>
                <w:rFonts w:hint="eastAsia" w:ascii="宋体" w:hAnsi="宋体" w:cs="宋体"/>
                <w:sz w:val="24"/>
                <w:szCs w:val="24"/>
                <w:lang w:val="en-US" w:eastAsia="zh-CN"/>
              </w:rPr>
              <w:t>1</w:t>
            </w:r>
            <w:r>
              <w:rPr>
                <w:rFonts w:hint="eastAsia" w:ascii="宋体" w:hAnsi="宋体" w:cs="宋体"/>
                <w:sz w:val="24"/>
                <w:szCs w:val="24"/>
              </w:rPr>
              <w:t>分-2分，未提供任何说明的不得分。本小项最高得6分。</w:t>
            </w:r>
          </w:p>
        </w:tc>
      </w:tr>
      <w:tr w14:paraId="39AA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552" w:type="dxa"/>
            <w:vMerge w:val="continue"/>
            <w:tcBorders>
              <w:left w:val="single" w:color="auto" w:sz="4" w:space="0"/>
              <w:right w:val="single" w:color="auto" w:sz="4" w:space="0"/>
            </w:tcBorders>
            <w:vAlign w:val="center"/>
          </w:tcPr>
          <w:p w14:paraId="52A37F7C">
            <w:pPr>
              <w:pStyle w:val="25"/>
              <w:autoSpaceDE w:val="0"/>
              <w:autoSpaceDN w:val="0"/>
              <w:spacing w:line="560" w:lineRule="exact"/>
              <w:ind w:firstLine="0" w:firstLineChars="0"/>
              <w:jc w:val="center"/>
              <w:rPr>
                <w:rFonts w:hint="eastAsia" w:ascii="宋体" w:hAnsi="宋体" w:cs="宋体"/>
                <w:snapToGrid w:val="0"/>
                <w:sz w:val="24"/>
                <w:szCs w:val="24"/>
              </w:rPr>
            </w:pPr>
          </w:p>
        </w:tc>
        <w:tc>
          <w:tcPr>
            <w:tcW w:w="1274" w:type="dxa"/>
            <w:vMerge w:val="continue"/>
            <w:tcBorders>
              <w:left w:val="single" w:color="auto" w:sz="4" w:space="0"/>
              <w:right w:val="single" w:color="auto" w:sz="4" w:space="0"/>
            </w:tcBorders>
            <w:vAlign w:val="center"/>
          </w:tcPr>
          <w:p w14:paraId="655E98A1">
            <w:pPr>
              <w:pStyle w:val="25"/>
              <w:autoSpaceDE w:val="0"/>
              <w:autoSpaceDN w:val="0"/>
              <w:spacing w:line="560" w:lineRule="exact"/>
              <w:ind w:firstLine="0" w:firstLineChars="0"/>
              <w:rPr>
                <w:rFonts w:hint="eastAsia" w:ascii="宋体" w:hAnsi="宋体" w:cs="宋体"/>
                <w:snapToGrid w:val="0"/>
                <w:sz w:val="24"/>
                <w:szCs w:val="24"/>
              </w:rPr>
            </w:pPr>
          </w:p>
        </w:tc>
        <w:tc>
          <w:tcPr>
            <w:tcW w:w="1231" w:type="dxa"/>
            <w:tcBorders>
              <w:top w:val="single" w:color="auto" w:sz="4" w:space="0"/>
              <w:left w:val="single" w:color="auto" w:sz="4" w:space="0"/>
              <w:bottom w:val="single" w:color="auto" w:sz="4" w:space="0"/>
              <w:right w:val="single" w:color="auto" w:sz="4" w:space="0"/>
            </w:tcBorders>
            <w:vAlign w:val="center"/>
          </w:tcPr>
          <w:p w14:paraId="7912377F">
            <w:pPr>
              <w:rPr>
                <w:rFonts w:hint="eastAsia" w:ascii="宋体" w:hAnsi="宋体" w:cs="宋体"/>
                <w:sz w:val="24"/>
              </w:rPr>
            </w:pPr>
            <w:r>
              <w:rPr>
                <w:rFonts w:hint="eastAsia" w:ascii="宋体" w:hAnsi="宋体" w:cs="宋体"/>
                <w:sz w:val="24"/>
              </w:rPr>
              <w:t>项目实施方案和计划</w:t>
            </w:r>
          </w:p>
        </w:tc>
        <w:tc>
          <w:tcPr>
            <w:tcW w:w="679" w:type="dxa"/>
            <w:tcBorders>
              <w:top w:val="single" w:color="auto" w:sz="4" w:space="0"/>
              <w:left w:val="single" w:color="auto" w:sz="4" w:space="0"/>
              <w:bottom w:val="single" w:color="auto" w:sz="4" w:space="0"/>
              <w:right w:val="single" w:color="auto" w:sz="4" w:space="0"/>
            </w:tcBorders>
            <w:vAlign w:val="center"/>
          </w:tcPr>
          <w:p w14:paraId="4AE7E943">
            <w:pPr>
              <w:pStyle w:val="25"/>
              <w:autoSpaceDE w:val="0"/>
              <w:autoSpaceDN w:val="0"/>
              <w:spacing w:line="560" w:lineRule="exact"/>
              <w:ind w:firstLine="0" w:firstLineChars="0"/>
              <w:jc w:val="center"/>
              <w:rPr>
                <w:rFonts w:hint="eastAsia" w:ascii="宋体" w:hAnsi="宋体" w:cs="宋体"/>
                <w:sz w:val="24"/>
                <w:szCs w:val="24"/>
              </w:rPr>
            </w:pPr>
            <w:r>
              <w:rPr>
                <w:rFonts w:hint="eastAsia" w:ascii="宋体" w:hAnsi="宋体" w:cs="宋体"/>
                <w:sz w:val="24"/>
                <w:szCs w:val="24"/>
              </w:rPr>
              <w:t>6</w:t>
            </w:r>
          </w:p>
        </w:tc>
        <w:tc>
          <w:tcPr>
            <w:tcW w:w="6185" w:type="dxa"/>
            <w:tcBorders>
              <w:top w:val="single" w:color="auto" w:sz="4" w:space="0"/>
              <w:left w:val="single" w:color="auto" w:sz="4" w:space="0"/>
              <w:bottom w:val="single" w:color="auto" w:sz="4" w:space="0"/>
              <w:right w:val="single" w:color="auto" w:sz="4" w:space="0"/>
            </w:tcBorders>
            <w:vAlign w:val="center"/>
          </w:tcPr>
          <w:p w14:paraId="3DEC9F5C">
            <w:pPr>
              <w:pStyle w:val="25"/>
              <w:autoSpaceDE w:val="0"/>
              <w:autoSpaceDN w:val="0"/>
              <w:ind w:firstLine="0" w:firstLineChars="0"/>
              <w:rPr>
                <w:rFonts w:hint="eastAsia" w:ascii="宋体" w:hAnsi="宋体" w:cs="宋体"/>
                <w:sz w:val="24"/>
                <w:szCs w:val="24"/>
              </w:rPr>
            </w:pPr>
            <w:r>
              <w:rPr>
                <w:rFonts w:ascii="宋体" w:hAnsi="宋体" w:cs="宋体"/>
                <w:sz w:val="24"/>
                <w:szCs w:val="24"/>
              </w:rPr>
              <w:t>根据参选人提供的项目实施方案和计划，从实施方案和计划完整度、合理性、可行性、时效性等方面进行综合评分，方案优得5</w:t>
            </w:r>
            <w:r>
              <w:rPr>
                <w:rFonts w:hint="eastAsia" w:ascii="宋体" w:hAnsi="宋体" w:cs="宋体"/>
                <w:sz w:val="24"/>
                <w:szCs w:val="24"/>
              </w:rPr>
              <w:t>分-6</w:t>
            </w:r>
            <w:r>
              <w:rPr>
                <w:rFonts w:ascii="宋体" w:hAnsi="宋体" w:cs="宋体"/>
                <w:sz w:val="24"/>
                <w:szCs w:val="24"/>
              </w:rPr>
              <w:t>分，良得</w:t>
            </w:r>
            <w:r>
              <w:rPr>
                <w:rFonts w:hint="eastAsia" w:ascii="宋体" w:hAnsi="宋体" w:cs="宋体"/>
                <w:sz w:val="24"/>
                <w:szCs w:val="24"/>
                <w:lang w:val="en-US" w:eastAsia="zh-CN"/>
              </w:rPr>
              <w:t>3</w:t>
            </w:r>
            <w:r>
              <w:rPr>
                <w:rFonts w:hint="eastAsia" w:ascii="宋体" w:hAnsi="宋体" w:cs="宋体"/>
                <w:sz w:val="24"/>
                <w:szCs w:val="24"/>
              </w:rPr>
              <w:t>分-</w:t>
            </w:r>
            <w:r>
              <w:rPr>
                <w:rFonts w:hint="eastAsia" w:ascii="宋体" w:hAnsi="宋体" w:cs="宋体"/>
                <w:sz w:val="24"/>
                <w:szCs w:val="24"/>
                <w:lang w:val="en-US" w:eastAsia="zh-CN"/>
              </w:rPr>
              <w:t>4</w:t>
            </w:r>
            <w:r>
              <w:rPr>
                <w:rFonts w:hint="eastAsia" w:ascii="宋体" w:hAnsi="宋体" w:cs="宋体"/>
                <w:sz w:val="24"/>
                <w:szCs w:val="24"/>
              </w:rPr>
              <w:t>分</w:t>
            </w:r>
            <w:r>
              <w:rPr>
                <w:rFonts w:ascii="宋体" w:hAnsi="宋体" w:cs="宋体"/>
                <w:sz w:val="24"/>
                <w:szCs w:val="24"/>
              </w:rPr>
              <w:t>，一般得</w:t>
            </w:r>
            <w:r>
              <w:rPr>
                <w:rFonts w:hint="eastAsia" w:ascii="宋体" w:hAnsi="宋体" w:cs="宋体"/>
                <w:sz w:val="24"/>
                <w:szCs w:val="24"/>
                <w:lang w:val="en-US" w:eastAsia="zh-CN"/>
              </w:rPr>
              <w:t>1</w:t>
            </w:r>
            <w:r>
              <w:rPr>
                <w:rFonts w:hint="eastAsia" w:ascii="宋体" w:hAnsi="宋体" w:cs="宋体"/>
                <w:sz w:val="24"/>
                <w:szCs w:val="24"/>
              </w:rPr>
              <w:t>分-</w:t>
            </w:r>
            <w:r>
              <w:rPr>
                <w:rFonts w:hint="eastAsia" w:ascii="宋体" w:hAnsi="宋体" w:cs="宋体"/>
                <w:sz w:val="24"/>
                <w:szCs w:val="24"/>
                <w:lang w:val="en-US" w:eastAsia="zh-CN"/>
              </w:rPr>
              <w:t>2</w:t>
            </w:r>
            <w:r>
              <w:rPr>
                <w:rFonts w:ascii="宋体" w:hAnsi="宋体" w:cs="宋体"/>
                <w:sz w:val="24"/>
                <w:szCs w:val="24"/>
              </w:rPr>
              <w:t>分，未提供任何说明的不得分。本小项最高得</w:t>
            </w:r>
            <w:r>
              <w:rPr>
                <w:rFonts w:hint="eastAsia" w:ascii="宋体" w:hAnsi="宋体" w:cs="宋体"/>
                <w:sz w:val="24"/>
                <w:szCs w:val="24"/>
              </w:rPr>
              <w:t>6</w:t>
            </w:r>
            <w:r>
              <w:rPr>
                <w:rFonts w:ascii="宋体" w:hAnsi="宋体" w:cs="宋体"/>
                <w:sz w:val="24"/>
                <w:szCs w:val="24"/>
              </w:rPr>
              <w:t>分。</w:t>
            </w:r>
          </w:p>
        </w:tc>
      </w:tr>
      <w:tr w14:paraId="2BCC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552" w:type="dxa"/>
            <w:vMerge w:val="continue"/>
            <w:tcBorders>
              <w:left w:val="single" w:color="auto" w:sz="4" w:space="0"/>
              <w:right w:val="single" w:color="auto" w:sz="4" w:space="0"/>
            </w:tcBorders>
            <w:vAlign w:val="center"/>
          </w:tcPr>
          <w:p w14:paraId="568FA7A0">
            <w:pPr>
              <w:pStyle w:val="25"/>
              <w:autoSpaceDE w:val="0"/>
              <w:autoSpaceDN w:val="0"/>
              <w:spacing w:line="560" w:lineRule="exact"/>
              <w:ind w:firstLine="0" w:firstLineChars="0"/>
              <w:jc w:val="center"/>
              <w:rPr>
                <w:rFonts w:hint="eastAsia" w:ascii="宋体" w:hAnsi="宋体" w:cs="宋体"/>
                <w:snapToGrid w:val="0"/>
                <w:sz w:val="24"/>
                <w:szCs w:val="24"/>
              </w:rPr>
            </w:pPr>
          </w:p>
        </w:tc>
        <w:tc>
          <w:tcPr>
            <w:tcW w:w="1274" w:type="dxa"/>
            <w:vMerge w:val="continue"/>
            <w:tcBorders>
              <w:left w:val="single" w:color="auto" w:sz="4" w:space="0"/>
              <w:right w:val="single" w:color="auto" w:sz="4" w:space="0"/>
            </w:tcBorders>
            <w:vAlign w:val="center"/>
          </w:tcPr>
          <w:p w14:paraId="601E9584">
            <w:pPr>
              <w:pStyle w:val="25"/>
              <w:autoSpaceDE w:val="0"/>
              <w:autoSpaceDN w:val="0"/>
              <w:spacing w:line="560" w:lineRule="exact"/>
              <w:ind w:firstLine="0" w:firstLineChars="0"/>
              <w:rPr>
                <w:rFonts w:hint="eastAsia" w:ascii="宋体" w:hAnsi="宋体" w:cs="宋体"/>
                <w:snapToGrid w:val="0"/>
                <w:sz w:val="24"/>
                <w:szCs w:val="24"/>
              </w:rPr>
            </w:pPr>
          </w:p>
        </w:tc>
        <w:tc>
          <w:tcPr>
            <w:tcW w:w="1231" w:type="dxa"/>
            <w:tcBorders>
              <w:top w:val="single" w:color="auto" w:sz="4" w:space="0"/>
              <w:left w:val="single" w:color="auto" w:sz="4" w:space="0"/>
              <w:bottom w:val="single" w:color="auto" w:sz="4" w:space="0"/>
              <w:right w:val="single" w:color="auto" w:sz="4" w:space="0"/>
            </w:tcBorders>
            <w:vAlign w:val="center"/>
          </w:tcPr>
          <w:p w14:paraId="105AD47A">
            <w:pPr>
              <w:rPr>
                <w:rFonts w:hint="eastAsia" w:ascii="宋体" w:hAnsi="宋体" w:cs="宋体"/>
                <w:sz w:val="24"/>
              </w:rPr>
            </w:pPr>
            <w:r>
              <w:rPr>
                <w:rFonts w:hint="eastAsia" w:ascii="宋体" w:hAnsi="宋体" w:cs="宋体"/>
                <w:sz w:val="24"/>
              </w:rPr>
              <w:t>相关服务</w:t>
            </w:r>
          </w:p>
        </w:tc>
        <w:tc>
          <w:tcPr>
            <w:tcW w:w="679" w:type="dxa"/>
            <w:tcBorders>
              <w:top w:val="single" w:color="auto" w:sz="4" w:space="0"/>
              <w:left w:val="single" w:color="auto" w:sz="4" w:space="0"/>
              <w:bottom w:val="single" w:color="auto" w:sz="4" w:space="0"/>
              <w:right w:val="single" w:color="auto" w:sz="4" w:space="0"/>
            </w:tcBorders>
            <w:vAlign w:val="center"/>
          </w:tcPr>
          <w:p w14:paraId="079618E7">
            <w:pPr>
              <w:pStyle w:val="25"/>
              <w:autoSpaceDE w:val="0"/>
              <w:autoSpaceDN w:val="0"/>
              <w:spacing w:line="560" w:lineRule="exact"/>
              <w:ind w:firstLine="0" w:firstLineChars="0"/>
              <w:jc w:val="center"/>
              <w:rPr>
                <w:rFonts w:hint="eastAsia" w:ascii="宋体" w:hAnsi="宋体" w:cs="宋体"/>
                <w:sz w:val="24"/>
                <w:szCs w:val="24"/>
              </w:rPr>
            </w:pPr>
            <w:r>
              <w:rPr>
                <w:rFonts w:hint="eastAsia" w:ascii="宋体" w:hAnsi="宋体" w:cs="宋体"/>
                <w:sz w:val="24"/>
                <w:szCs w:val="24"/>
              </w:rPr>
              <w:t>6</w:t>
            </w:r>
          </w:p>
        </w:tc>
        <w:tc>
          <w:tcPr>
            <w:tcW w:w="6185" w:type="dxa"/>
            <w:tcBorders>
              <w:top w:val="single" w:color="auto" w:sz="4" w:space="0"/>
              <w:left w:val="single" w:color="auto" w:sz="4" w:space="0"/>
              <w:bottom w:val="single" w:color="auto" w:sz="4" w:space="0"/>
              <w:right w:val="single" w:color="auto" w:sz="4" w:space="0"/>
            </w:tcBorders>
            <w:vAlign w:val="center"/>
          </w:tcPr>
          <w:p w14:paraId="2445FB76">
            <w:pPr>
              <w:pStyle w:val="25"/>
              <w:autoSpaceDE w:val="0"/>
              <w:autoSpaceDN w:val="0"/>
              <w:ind w:firstLine="0" w:firstLineChars="0"/>
              <w:rPr>
                <w:rFonts w:hint="eastAsia" w:ascii="宋体" w:hAnsi="宋体" w:cs="宋体"/>
                <w:sz w:val="24"/>
                <w:szCs w:val="24"/>
              </w:rPr>
            </w:pPr>
            <w:r>
              <w:rPr>
                <w:rFonts w:hint="eastAsia" w:ascii="宋体" w:hAnsi="宋体" w:cs="宋体"/>
                <w:sz w:val="24"/>
                <w:szCs w:val="24"/>
              </w:rPr>
              <w:t>提供其他增值服务，编制的实施方案合理、针对性强等方面综合评分，方案优得</w:t>
            </w:r>
            <w:r>
              <w:rPr>
                <w:rFonts w:ascii="宋体" w:hAnsi="宋体" w:cs="宋体"/>
                <w:sz w:val="24"/>
                <w:szCs w:val="24"/>
              </w:rPr>
              <w:t>5</w:t>
            </w:r>
            <w:r>
              <w:rPr>
                <w:rFonts w:hint="eastAsia" w:ascii="宋体" w:hAnsi="宋体" w:cs="宋体"/>
                <w:sz w:val="24"/>
                <w:szCs w:val="24"/>
              </w:rPr>
              <w:t>分-6</w:t>
            </w:r>
            <w:r>
              <w:rPr>
                <w:rFonts w:ascii="宋体" w:hAnsi="宋体" w:cs="宋体"/>
                <w:sz w:val="24"/>
                <w:szCs w:val="24"/>
              </w:rPr>
              <w:t>分</w:t>
            </w:r>
            <w:r>
              <w:rPr>
                <w:rFonts w:hint="eastAsia" w:ascii="宋体" w:hAnsi="宋体" w:cs="宋体"/>
                <w:sz w:val="24"/>
                <w:szCs w:val="24"/>
              </w:rPr>
              <w:t>，良得</w:t>
            </w:r>
            <w:r>
              <w:rPr>
                <w:rFonts w:ascii="宋体" w:hAnsi="宋体" w:cs="宋体"/>
                <w:sz w:val="24"/>
                <w:szCs w:val="24"/>
              </w:rPr>
              <w:t>3</w:t>
            </w:r>
            <w:r>
              <w:rPr>
                <w:rFonts w:hint="eastAsia" w:ascii="宋体" w:hAnsi="宋体" w:cs="宋体"/>
                <w:sz w:val="24"/>
                <w:szCs w:val="24"/>
              </w:rPr>
              <w:t>分-</w:t>
            </w:r>
            <w:r>
              <w:rPr>
                <w:rFonts w:hint="eastAsia" w:ascii="宋体" w:hAnsi="宋体" w:cs="宋体"/>
                <w:sz w:val="24"/>
                <w:szCs w:val="24"/>
                <w:lang w:val="en-US" w:eastAsia="zh-CN"/>
              </w:rPr>
              <w:t>4</w:t>
            </w:r>
            <w:r>
              <w:rPr>
                <w:rFonts w:hint="eastAsia" w:ascii="宋体" w:hAnsi="宋体" w:cs="宋体"/>
                <w:sz w:val="24"/>
                <w:szCs w:val="24"/>
              </w:rPr>
              <w:t>分，一般得</w:t>
            </w:r>
            <w:r>
              <w:rPr>
                <w:rFonts w:hint="eastAsia" w:ascii="宋体" w:hAnsi="宋体" w:cs="宋体"/>
                <w:sz w:val="24"/>
                <w:szCs w:val="24"/>
                <w:lang w:val="en-US" w:eastAsia="zh-CN"/>
              </w:rPr>
              <w:t>1</w:t>
            </w:r>
            <w:r>
              <w:rPr>
                <w:rFonts w:hint="eastAsia" w:ascii="宋体" w:hAnsi="宋体" w:cs="宋体"/>
                <w:sz w:val="24"/>
                <w:szCs w:val="24"/>
              </w:rPr>
              <w:t>分-</w:t>
            </w:r>
            <w:r>
              <w:rPr>
                <w:rFonts w:hint="eastAsia" w:ascii="宋体" w:hAnsi="宋体" w:cs="宋体"/>
                <w:sz w:val="24"/>
                <w:szCs w:val="24"/>
                <w:lang w:val="en-US" w:eastAsia="zh-CN"/>
              </w:rPr>
              <w:t>2</w:t>
            </w:r>
            <w:r>
              <w:rPr>
                <w:rFonts w:ascii="宋体" w:hAnsi="宋体" w:cs="宋体"/>
                <w:sz w:val="24"/>
                <w:szCs w:val="24"/>
              </w:rPr>
              <w:t>分</w:t>
            </w:r>
            <w:r>
              <w:rPr>
                <w:rFonts w:hint="eastAsia" w:ascii="宋体" w:hAnsi="宋体" w:cs="宋体"/>
                <w:sz w:val="24"/>
                <w:szCs w:val="24"/>
              </w:rPr>
              <w:t>，未提供任何说明的不得分。本小项最高得6分。</w:t>
            </w:r>
          </w:p>
        </w:tc>
      </w:tr>
      <w:tr w14:paraId="03F1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552" w:type="dxa"/>
            <w:vMerge w:val="continue"/>
            <w:tcBorders>
              <w:left w:val="single" w:color="auto" w:sz="4" w:space="0"/>
              <w:right w:val="single" w:color="auto" w:sz="4" w:space="0"/>
            </w:tcBorders>
            <w:vAlign w:val="center"/>
          </w:tcPr>
          <w:p w14:paraId="61F38E82">
            <w:pPr>
              <w:pStyle w:val="25"/>
              <w:autoSpaceDE w:val="0"/>
              <w:autoSpaceDN w:val="0"/>
              <w:spacing w:line="560" w:lineRule="exact"/>
              <w:ind w:firstLine="0" w:firstLineChars="0"/>
              <w:jc w:val="center"/>
              <w:rPr>
                <w:rFonts w:hint="eastAsia" w:ascii="宋体" w:hAnsi="宋体" w:cs="宋体"/>
                <w:snapToGrid w:val="0"/>
                <w:sz w:val="24"/>
                <w:szCs w:val="24"/>
              </w:rPr>
            </w:pPr>
          </w:p>
        </w:tc>
        <w:tc>
          <w:tcPr>
            <w:tcW w:w="1274" w:type="dxa"/>
            <w:vMerge w:val="continue"/>
            <w:tcBorders>
              <w:left w:val="single" w:color="auto" w:sz="4" w:space="0"/>
              <w:right w:val="single" w:color="auto" w:sz="4" w:space="0"/>
            </w:tcBorders>
            <w:vAlign w:val="center"/>
          </w:tcPr>
          <w:p w14:paraId="57AF0CDB">
            <w:pPr>
              <w:pStyle w:val="25"/>
              <w:autoSpaceDE w:val="0"/>
              <w:autoSpaceDN w:val="0"/>
              <w:spacing w:line="560" w:lineRule="exact"/>
              <w:ind w:firstLine="0" w:firstLineChars="0"/>
              <w:rPr>
                <w:rFonts w:hint="eastAsia" w:ascii="宋体" w:hAnsi="宋体" w:cs="宋体"/>
                <w:snapToGrid w:val="0"/>
                <w:sz w:val="24"/>
                <w:szCs w:val="24"/>
              </w:rPr>
            </w:pPr>
          </w:p>
        </w:tc>
        <w:tc>
          <w:tcPr>
            <w:tcW w:w="1231" w:type="dxa"/>
            <w:tcBorders>
              <w:top w:val="single" w:color="auto" w:sz="4" w:space="0"/>
              <w:left w:val="single" w:color="auto" w:sz="4" w:space="0"/>
              <w:bottom w:val="single" w:color="auto" w:sz="4" w:space="0"/>
              <w:right w:val="single" w:color="auto" w:sz="4" w:space="0"/>
            </w:tcBorders>
            <w:vAlign w:val="center"/>
          </w:tcPr>
          <w:p w14:paraId="718D2285">
            <w:pPr>
              <w:rPr>
                <w:rFonts w:hint="eastAsia" w:ascii="宋体" w:hAnsi="宋体" w:cs="宋体"/>
                <w:sz w:val="24"/>
              </w:rPr>
            </w:pPr>
            <w:r>
              <w:rPr>
                <w:rFonts w:hint="eastAsia" w:ascii="宋体" w:hAnsi="宋体" w:cs="宋体"/>
                <w:sz w:val="24"/>
              </w:rPr>
              <w:t>成果文件</w:t>
            </w:r>
          </w:p>
          <w:p w14:paraId="4E7236E9">
            <w:pPr>
              <w:rPr>
                <w:rFonts w:hint="eastAsia" w:ascii="宋体" w:hAnsi="宋体" w:cs="宋体"/>
                <w:sz w:val="24"/>
              </w:rPr>
            </w:pPr>
            <w:r>
              <w:rPr>
                <w:rFonts w:hint="eastAsia" w:ascii="宋体" w:hAnsi="宋体" w:cs="宋体"/>
                <w:sz w:val="24"/>
              </w:rPr>
              <w:t>质量及提</w:t>
            </w:r>
          </w:p>
          <w:p w14:paraId="0EB16662">
            <w:pPr>
              <w:rPr>
                <w:rFonts w:hint="eastAsia" w:ascii="宋体" w:hAnsi="宋体" w:cs="宋体"/>
                <w:sz w:val="24"/>
              </w:rPr>
            </w:pPr>
            <w:r>
              <w:rPr>
                <w:rFonts w:hint="eastAsia" w:ascii="宋体" w:hAnsi="宋体" w:cs="宋体"/>
                <w:sz w:val="24"/>
              </w:rPr>
              <w:t>交期限保</w:t>
            </w:r>
          </w:p>
          <w:p w14:paraId="46B179FE">
            <w:pPr>
              <w:rPr>
                <w:rFonts w:hint="eastAsia" w:ascii="宋体" w:hAnsi="宋体" w:cs="宋体"/>
                <w:sz w:val="24"/>
              </w:rPr>
            </w:pPr>
            <w:r>
              <w:rPr>
                <w:rFonts w:hint="eastAsia" w:ascii="宋体" w:hAnsi="宋体" w:cs="宋体"/>
                <w:sz w:val="24"/>
              </w:rPr>
              <w:t>证措施</w:t>
            </w:r>
          </w:p>
        </w:tc>
        <w:tc>
          <w:tcPr>
            <w:tcW w:w="679" w:type="dxa"/>
            <w:tcBorders>
              <w:top w:val="single" w:color="auto" w:sz="4" w:space="0"/>
              <w:left w:val="single" w:color="auto" w:sz="4" w:space="0"/>
              <w:bottom w:val="single" w:color="auto" w:sz="4" w:space="0"/>
              <w:right w:val="single" w:color="auto" w:sz="4" w:space="0"/>
            </w:tcBorders>
            <w:vAlign w:val="center"/>
          </w:tcPr>
          <w:p w14:paraId="21A1EE8D">
            <w:pPr>
              <w:pStyle w:val="25"/>
              <w:autoSpaceDE w:val="0"/>
              <w:autoSpaceDN w:val="0"/>
              <w:spacing w:line="560" w:lineRule="exact"/>
              <w:ind w:firstLine="0" w:firstLineChars="0"/>
              <w:jc w:val="center"/>
              <w:rPr>
                <w:rFonts w:hint="eastAsia" w:ascii="宋体" w:hAnsi="宋体" w:cs="宋体"/>
                <w:sz w:val="24"/>
                <w:szCs w:val="24"/>
              </w:rPr>
            </w:pPr>
            <w:r>
              <w:rPr>
                <w:rFonts w:hint="eastAsia" w:ascii="宋体" w:hAnsi="宋体" w:cs="宋体"/>
                <w:sz w:val="24"/>
                <w:szCs w:val="24"/>
              </w:rPr>
              <w:t>5</w:t>
            </w:r>
          </w:p>
        </w:tc>
        <w:tc>
          <w:tcPr>
            <w:tcW w:w="6185" w:type="dxa"/>
            <w:tcBorders>
              <w:top w:val="single" w:color="auto" w:sz="4" w:space="0"/>
              <w:left w:val="single" w:color="auto" w:sz="4" w:space="0"/>
              <w:bottom w:val="single" w:color="auto" w:sz="4" w:space="0"/>
              <w:right w:val="single" w:color="auto" w:sz="4" w:space="0"/>
            </w:tcBorders>
            <w:vAlign w:val="center"/>
          </w:tcPr>
          <w:p w14:paraId="5C495291">
            <w:pPr>
              <w:pStyle w:val="25"/>
              <w:autoSpaceDE w:val="0"/>
              <w:autoSpaceDN w:val="0"/>
              <w:ind w:firstLine="0" w:firstLineChars="0"/>
              <w:rPr>
                <w:rFonts w:hint="eastAsia" w:ascii="宋体" w:hAnsi="宋体" w:cs="宋体"/>
                <w:sz w:val="24"/>
                <w:szCs w:val="24"/>
              </w:rPr>
            </w:pPr>
            <w:r>
              <w:rPr>
                <w:rFonts w:hint="eastAsia" w:ascii="宋体" w:hAnsi="宋体" w:cs="宋体"/>
                <w:sz w:val="24"/>
                <w:szCs w:val="24"/>
              </w:rPr>
              <w:t>从成果文件质量和提交期限保证措施全面、可行，符合询比文件要求等方面综合评分，方案优得5分，良得3分-4分，一般得</w:t>
            </w:r>
            <w:r>
              <w:rPr>
                <w:rFonts w:hint="eastAsia" w:ascii="宋体" w:hAnsi="宋体" w:cs="宋体"/>
                <w:sz w:val="24"/>
                <w:szCs w:val="24"/>
                <w:lang w:val="en-US" w:eastAsia="zh-CN"/>
              </w:rPr>
              <w:t>1</w:t>
            </w:r>
            <w:r>
              <w:rPr>
                <w:rFonts w:hint="eastAsia" w:ascii="宋体" w:hAnsi="宋体" w:cs="宋体"/>
                <w:sz w:val="24"/>
                <w:szCs w:val="24"/>
              </w:rPr>
              <w:t>分-</w:t>
            </w:r>
            <w:r>
              <w:rPr>
                <w:rFonts w:hint="eastAsia" w:ascii="宋体" w:hAnsi="宋体" w:cs="宋体"/>
                <w:sz w:val="24"/>
                <w:szCs w:val="24"/>
                <w:lang w:val="en-US" w:eastAsia="zh-CN"/>
              </w:rPr>
              <w:t>2</w:t>
            </w:r>
            <w:r>
              <w:rPr>
                <w:rFonts w:hint="eastAsia" w:ascii="宋体" w:hAnsi="宋体" w:cs="宋体"/>
                <w:sz w:val="24"/>
                <w:szCs w:val="24"/>
              </w:rPr>
              <w:t>分，未提供任何说明的不得分。本小项最高得5分。</w:t>
            </w:r>
          </w:p>
        </w:tc>
      </w:tr>
      <w:tr w14:paraId="727F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552" w:type="dxa"/>
            <w:vAlign w:val="center"/>
          </w:tcPr>
          <w:p w14:paraId="1C532B5F">
            <w:pPr>
              <w:jc w:val="center"/>
              <w:rPr>
                <w:rFonts w:hint="eastAsia" w:ascii="宋体" w:hAnsi="宋体" w:cs="宋体"/>
              </w:rPr>
            </w:pPr>
          </w:p>
          <w:p w14:paraId="763FEC5B">
            <w:pPr>
              <w:jc w:val="center"/>
              <w:rPr>
                <w:rFonts w:hint="eastAsia" w:ascii="宋体" w:hAnsi="宋体" w:cs="宋体"/>
              </w:rPr>
            </w:pPr>
          </w:p>
          <w:p w14:paraId="35CD6E63">
            <w:pPr>
              <w:jc w:val="center"/>
              <w:rPr>
                <w:rFonts w:hint="eastAsia" w:ascii="宋体" w:hAnsi="宋体" w:cs="宋体"/>
              </w:rPr>
            </w:pPr>
            <w:r>
              <w:rPr>
                <w:rFonts w:hint="eastAsia" w:ascii="宋体" w:hAnsi="宋体" w:cs="宋体"/>
              </w:rPr>
              <w:t>序号</w:t>
            </w:r>
          </w:p>
        </w:tc>
        <w:tc>
          <w:tcPr>
            <w:tcW w:w="1274" w:type="dxa"/>
            <w:vAlign w:val="center"/>
          </w:tcPr>
          <w:p w14:paraId="2510A595">
            <w:pPr>
              <w:jc w:val="center"/>
              <w:rPr>
                <w:rFonts w:hint="eastAsia" w:ascii="宋体" w:hAnsi="宋体" w:cs="宋体"/>
              </w:rPr>
            </w:pPr>
            <w:r>
              <w:rPr>
                <w:rFonts w:hint="eastAsia" w:ascii="宋体" w:hAnsi="宋体" w:cs="宋体"/>
              </w:rPr>
              <w:t>评审条款及分值</w:t>
            </w:r>
          </w:p>
        </w:tc>
        <w:tc>
          <w:tcPr>
            <w:tcW w:w="1231" w:type="dxa"/>
            <w:vAlign w:val="center"/>
          </w:tcPr>
          <w:p w14:paraId="0AAD01E6">
            <w:pPr>
              <w:jc w:val="center"/>
              <w:rPr>
                <w:rFonts w:hint="eastAsia" w:ascii="宋体" w:hAnsi="宋体" w:cs="宋体"/>
              </w:rPr>
            </w:pPr>
            <w:r>
              <w:rPr>
                <w:rFonts w:hint="eastAsia" w:ascii="宋体" w:hAnsi="宋体" w:cs="宋体"/>
              </w:rPr>
              <w:t>评审细节</w:t>
            </w:r>
          </w:p>
        </w:tc>
        <w:tc>
          <w:tcPr>
            <w:tcW w:w="679" w:type="dxa"/>
            <w:vAlign w:val="center"/>
          </w:tcPr>
          <w:p w14:paraId="2A2E93F2">
            <w:pPr>
              <w:jc w:val="center"/>
              <w:rPr>
                <w:rFonts w:hint="eastAsia" w:ascii="宋体" w:hAnsi="宋体" w:cs="宋体"/>
              </w:rPr>
            </w:pPr>
            <w:r>
              <w:rPr>
                <w:rFonts w:hint="eastAsia" w:ascii="宋体" w:hAnsi="宋体" w:cs="宋体"/>
              </w:rPr>
              <w:t>分值</w:t>
            </w:r>
          </w:p>
        </w:tc>
        <w:tc>
          <w:tcPr>
            <w:tcW w:w="6185" w:type="dxa"/>
            <w:vAlign w:val="center"/>
          </w:tcPr>
          <w:p w14:paraId="57EE7804">
            <w:pPr>
              <w:jc w:val="center"/>
              <w:rPr>
                <w:rFonts w:hint="eastAsia" w:ascii="宋体" w:hAnsi="宋体" w:cs="宋体"/>
              </w:rPr>
            </w:pPr>
            <w:r>
              <w:rPr>
                <w:rFonts w:hint="eastAsia" w:ascii="宋体" w:hAnsi="宋体" w:cs="宋体"/>
              </w:rPr>
              <w:t>评审细则</w:t>
            </w:r>
          </w:p>
        </w:tc>
      </w:tr>
      <w:tr w14:paraId="1BDD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552" w:type="dxa"/>
            <w:vMerge w:val="restart"/>
            <w:vAlign w:val="center"/>
          </w:tcPr>
          <w:p w14:paraId="0E59F400">
            <w:pPr>
              <w:jc w:val="center"/>
              <w:rPr>
                <w:rFonts w:hint="eastAsia" w:ascii="宋体" w:hAnsi="宋体" w:cs="宋体"/>
              </w:rPr>
            </w:pPr>
            <w:r>
              <w:rPr>
                <w:rFonts w:hint="eastAsia" w:ascii="宋体" w:hAnsi="宋体" w:cs="宋体"/>
              </w:rPr>
              <w:t>2</w:t>
            </w:r>
          </w:p>
        </w:tc>
        <w:tc>
          <w:tcPr>
            <w:tcW w:w="1274" w:type="dxa"/>
            <w:vMerge w:val="restart"/>
            <w:vAlign w:val="center"/>
          </w:tcPr>
          <w:p w14:paraId="2BF258FA">
            <w:pPr>
              <w:jc w:val="center"/>
              <w:rPr>
                <w:rFonts w:hint="eastAsia" w:ascii="宋体" w:hAnsi="宋体" w:cs="宋体"/>
                <w:snapToGrid w:val="0"/>
              </w:rPr>
            </w:pPr>
            <w:r>
              <w:rPr>
                <w:rFonts w:hint="eastAsia" w:ascii="宋体" w:hAnsi="宋体" w:cs="宋体"/>
                <w:snapToGrid w:val="0"/>
              </w:rPr>
              <w:t>商务评分（15分）</w:t>
            </w:r>
          </w:p>
        </w:tc>
        <w:tc>
          <w:tcPr>
            <w:tcW w:w="1231" w:type="dxa"/>
            <w:vAlign w:val="center"/>
          </w:tcPr>
          <w:p w14:paraId="0B4C3269">
            <w:pPr>
              <w:rPr>
                <w:rFonts w:hint="eastAsia" w:ascii="宋体" w:hAnsi="宋体" w:cs="宋体"/>
                <w:sz w:val="24"/>
              </w:rPr>
            </w:pPr>
            <w:r>
              <w:rPr>
                <w:rFonts w:hint="eastAsia" w:ascii="宋体" w:hAnsi="宋体" w:cs="宋体"/>
                <w:sz w:val="24"/>
              </w:rPr>
              <w:t>商务资质</w:t>
            </w:r>
          </w:p>
          <w:p w14:paraId="0536937B">
            <w:pPr>
              <w:pStyle w:val="2"/>
              <w:rPr>
                <w:rFonts w:hint="eastAsia" w:ascii="宋体" w:hAnsi="宋体" w:cs="宋体"/>
                <w:sz w:val="24"/>
              </w:rPr>
            </w:pPr>
            <w:r>
              <w:rPr>
                <w:rFonts w:hint="eastAsia" w:ascii="宋体" w:hAnsi="宋体" w:cs="宋体"/>
                <w:sz w:val="24"/>
              </w:rPr>
              <w:t>综合实力</w:t>
            </w:r>
          </w:p>
        </w:tc>
        <w:tc>
          <w:tcPr>
            <w:tcW w:w="679" w:type="dxa"/>
            <w:vAlign w:val="center"/>
          </w:tcPr>
          <w:p w14:paraId="19C4850A">
            <w:pPr>
              <w:jc w:val="center"/>
              <w:rPr>
                <w:rFonts w:hint="eastAsia" w:ascii="宋体" w:hAnsi="宋体" w:cs="宋体"/>
                <w:sz w:val="24"/>
              </w:rPr>
            </w:pPr>
            <w:r>
              <w:rPr>
                <w:rFonts w:hint="eastAsia" w:ascii="宋体" w:hAnsi="宋体" w:cs="宋体"/>
                <w:sz w:val="24"/>
              </w:rPr>
              <w:t>5</w:t>
            </w:r>
          </w:p>
        </w:tc>
        <w:tc>
          <w:tcPr>
            <w:tcW w:w="6185" w:type="dxa"/>
            <w:vAlign w:val="center"/>
          </w:tcPr>
          <w:p w14:paraId="2330A2AE">
            <w:pPr>
              <w:rPr>
                <w:rFonts w:hint="eastAsia" w:ascii="宋体" w:hAnsi="宋体" w:cs="宋体"/>
                <w:sz w:val="24"/>
              </w:rPr>
            </w:pPr>
            <w:r>
              <w:rPr>
                <w:rFonts w:hint="eastAsia" w:ascii="宋体" w:hAnsi="宋体" w:cs="宋体"/>
                <w:sz w:val="24"/>
              </w:rPr>
              <w:t>根据参选人提供的能够反映其综合实力（企业规模、服务能力、资源优势、资信、资质）的证明材料进行横向综合对比，优的得5分，良的得</w:t>
            </w:r>
            <w:r>
              <w:rPr>
                <w:rFonts w:hint="eastAsia" w:ascii="宋体" w:hAnsi="宋体" w:cs="宋体"/>
                <w:sz w:val="24"/>
                <w:lang w:val="en-US" w:eastAsia="zh-CN"/>
              </w:rPr>
              <w:t>3</w:t>
            </w:r>
            <w:r>
              <w:rPr>
                <w:rFonts w:hint="eastAsia" w:ascii="宋体" w:hAnsi="宋体" w:cs="宋体"/>
                <w:sz w:val="24"/>
              </w:rPr>
              <w:t>分-</w:t>
            </w:r>
            <w:r>
              <w:rPr>
                <w:rFonts w:hint="eastAsia" w:ascii="宋体" w:hAnsi="宋体" w:cs="宋体"/>
                <w:sz w:val="24"/>
                <w:lang w:val="en-US" w:eastAsia="zh-CN"/>
              </w:rPr>
              <w:t>4</w:t>
            </w:r>
            <w:r>
              <w:rPr>
                <w:rFonts w:hint="eastAsia" w:ascii="宋体" w:hAnsi="宋体" w:cs="宋体"/>
                <w:sz w:val="24"/>
              </w:rPr>
              <w:t>分，一般的得</w:t>
            </w:r>
            <w:r>
              <w:rPr>
                <w:rFonts w:hint="eastAsia" w:ascii="宋体" w:hAnsi="宋体" w:cs="宋体"/>
                <w:sz w:val="24"/>
                <w:lang w:val="en-US" w:eastAsia="zh-CN"/>
              </w:rPr>
              <w:t>1</w:t>
            </w:r>
            <w:r>
              <w:rPr>
                <w:rFonts w:hint="eastAsia" w:ascii="宋体" w:hAnsi="宋体" w:cs="宋体"/>
                <w:sz w:val="24"/>
              </w:rPr>
              <w:t>分-2分，未提供任何说明的不得分。本小项最高得5分。</w:t>
            </w:r>
          </w:p>
        </w:tc>
      </w:tr>
      <w:tr w14:paraId="7B08A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52" w:type="dxa"/>
            <w:vMerge w:val="continue"/>
            <w:vAlign w:val="center"/>
          </w:tcPr>
          <w:p w14:paraId="2591B640">
            <w:pPr>
              <w:rPr>
                <w:rFonts w:hint="eastAsia" w:ascii="宋体" w:hAnsi="宋体" w:cs="宋体"/>
              </w:rPr>
            </w:pPr>
          </w:p>
        </w:tc>
        <w:tc>
          <w:tcPr>
            <w:tcW w:w="1274" w:type="dxa"/>
            <w:vMerge w:val="continue"/>
            <w:vAlign w:val="center"/>
          </w:tcPr>
          <w:p w14:paraId="620982E0">
            <w:pPr>
              <w:rPr>
                <w:rFonts w:hint="eastAsia" w:ascii="宋体" w:hAnsi="宋体" w:cs="宋体"/>
                <w:snapToGrid w:val="0"/>
              </w:rPr>
            </w:pPr>
          </w:p>
        </w:tc>
        <w:tc>
          <w:tcPr>
            <w:tcW w:w="1231" w:type="dxa"/>
            <w:vAlign w:val="center"/>
          </w:tcPr>
          <w:p w14:paraId="21EEAC1C">
            <w:pPr>
              <w:rPr>
                <w:rFonts w:hint="eastAsia" w:ascii="宋体" w:hAnsi="宋体" w:cs="宋体"/>
                <w:sz w:val="24"/>
              </w:rPr>
            </w:pPr>
            <w:r>
              <w:rPr>
                <w:rFonts w:hint="eastAsia" w:ascii="宋体" w:hAnsi="宋体" w:cs="宋体"/>
                <w:sz w:val="24"/>
              </w:rPr>
              <w:t>商务资质</w:t>
            </w:r>
          </w:p>
          <w:p w14:paraId="5C4D74C1">
            <w:pPr>
              <w:rPr>
                <w:rFonts w:hint="eastAsia" w:ascii="宋体" w:hAnsi="宋体" w:cs="宋体"/>
                <w:sz w:val="24"/>
              </w:rPr>
            </w:pPr>
            <w:r>
              <w:rPr>
                <w:rFonts w:hint="eastAsia" w:ascii="宋体" w:hAnsi="宋体" w:cs="宋体"/>
                <w:sz w:val="24"/>
              </w:rPr>
              <w:t>项目业绩</w:t>
            </w:r>
          </w:p>
        </w:tc>
        <w:tc>
          <w:tcPr>
            <w:tcW w:w="679" w:type="dxa"/>
            <w:vAlign w:val="center"/>
          </w:tcPr>
          <w:p w14:paraId="2284EE00">
            <w:pPr>
              <w:rPr>
                <w:rFonts w:hint="eastAsia" w:ascii="宋体" w:hAnsi="宋体" w:cs="宋体"/>
                <w:sz w:val="24"/>
              </w:rPr>
            </w:pPr>
            <w:r>
              <w:rPr>
                <w:rFonts w:hint="eastAsia" w:ascii="宋体" w:hAnsi="宋体" w:cs="宋体"/>
                <w:sz w:val="24"/>
              </w:rPr>
              <w:t>10</w:t>
            </w:r>
          </w:p>
        </w:tc>
        <w:tc>
          <w:tcPr>
            <w:tcW w:w="6185" w:type="dxa"/>
            <w:vAlign w:val="center"/>
          </w:tcPr>
          <w:p w14:paraId="4765E8D4">
            <w:pPr>
              <w:pStyle w:val="2"/>
              <w:rPr>
                <w:rFonts w:hint="eastAsia" w:ascii="宋体" w:hAnsi="宋体" w:eastAsia="宋体" w:cs="宋体"/>
                <w:sz w:val="24"/>
                <w:lang w:eastAsia="zh-CN"/>
              </w:rPr>
            </w:pPr>
            <w:r>
              <w:rPr>
                <w:rFonts w:hint="eastAsia" w:ascii="宋体" w:hAnsi="宋体" w:cs="宋体"/>
                <w:sz w:val="24"/>
              </w:rPr>
              <w:t>根据参选人</w:t>
            </w:r>
            <w:r>
              <w:rPr>
                <w:rFonts w:hint="eastAsia" w:ascii="宋体" w:hAnsi="宋体" w:cs="宋体"/>
                <w:sz w:val="24"/>
                <w:lang w:val="en-US" w:eastAsia="zh-CN"/>
              </w:rPr>
              <w:t>提供的</w:t>
            </w:r>
            <w:r>
              <w:rPr>
                <w:rFonts w:hint="eastAsia" w:ascii="宋体" w:hAnsi="宋体" w:cs="宋体"/>
                <w:sz w:val="24"/>
              </w:rPr>
              <w:t>自2021年1月1日起至参选截止时间为止（以合同签订时间为准）的管理体系认证和安全标准化评价项目业绩。</w:t>
            </w:r>
            <w:r>
              <w:rPr>
                <w:rFonts w:hint="eastAsia" w:ascii="宋体" w:hAnsi="宋体" w:cs="宋体"/>
                <w:sz w:val="24"/>
                <w:lang w:eastAsia="zh-CN"/>
              </w:rPr>
              <w:t>（</w:t>
            </w:r>
            <w:r>
              <w:rPr>
                <w:rFonts w:hint="eastAsia" w:ascii="宋体" w:hAnsi="宋体" w:cs="宋体"/>
                <w:sz w:val="24"/>
                <w:lang w:val="en-US" w:eastAsia="zh-CN"/>
              </w:rPr>
              <w:t>同一项目不能同时多项得分</w:t>
            </w:r>
            <w:r>
              <w:rPr>
                <w:rFonts w:hint="eastAsia" w:ascii="宋体" w:hAnsi="宋体" w:cs="宋体"/>
                <w:sz w:val="24"/>
                <w:lang w:eastAsia="zh-CN"/>
              </w:rPr>
              <w:t>）</w:t>
            </w:r>
          </w:p>
          <w:p w14:paraId="24CFB78D">
            <w:pPr>
              <w:pStyle w:val="2"/>
              <w:spacing w:after="0"/>
              <w:rPr>
                <w:rFonts w:hint="eastAsia" w:ascii="宋体" w:hAnsi="宋体" w:cs="宋体"/>
                <w:sz w:val="24"/>
              </w:rPr>
            </w:pPr>
            <w:r>
              <w:rPr>
                <w:rFonts w:hint="eastAsia" w:ascii="宋体" w:hAnsi="宋体" w:cs="宋体"/>
                <w:sz w:val="24"/>
                <w:lang w:val="en-US" w:eastAsia="zh-CN"/>
              </w:rPr>
              <w:t>1、</w:t>
            </w:r>
            <w:r>
              <w:rPr>
                <w:rFonts w:ascii="宋体" w:hAnsi="宋体" w:cs="宋体"/>
                <w:sz w:val="24"/>
              </w:rPr>
              <w:t>每增加一个</w:t>
            </w:r>
            <w:r>
              <w:rPr>
                <w:rFonts w:hint="eastAsia" w:ascii="宋体" w:hAnsi="宋体" w:cs="宋体"/>
                <w:sz w:val="24"/>
              </w:rPr>
              <w:t>与化工行</w:t>
            </w:r>
            <w:r>
              <w:rPr>
                <w:rFonts w:hint="eastAsia" w:ascii="宋体" w:hAnsi="宋体" w:cs="宋体"/>
                <w:color w:val="auto"/>
                <w:sz w:val="24"/>
              </w:rPr>
              <w:t>业或从事危险品企业运营</w:t>
            </w:r>
            <w:r>
              <w:rPr>
                <w:rFonts w:hint="eastAsia" w:ascii="宋体" w:hAnsi="宋体" w:cs="宋体"/>
                <w:sz w:val="24"/>
              </w:rPr>
              <w:t>相关的</w:t>
            </w:r>
            <w:r>
              <w:rPr>
                <w:rFonts w:ascii="宋体" w:hAnsi="宋体" w:cs="宋体"/>
                <w:sz w:val="24"/>
              </w:rPr>
              <w:t>单项</w:t>
            </w:r>
            <w:r>
              <w:rPr>
                <w:rFonts w:hint="eastAsia" w:ascii="宋体" w:hAnsi="宋体" w:cs="宋体"/>
                <w:sz w:val="24"/>
              </w:rPr>
              <w:t>体系认证</w:t>
            </w:r>
            <w:r>
              <w:rPr>
                <w:rFonts w:ascii="宋体" w:hAnsi="宋体" w:cs="宋体"/>
                <w:sz w:val="24"/>
              </w:rPr>
              <w:t>合同金额≥</w:t>
            </w:r>
            <w:r>
              <w:rPr>
                <w:rFonts w:hint="eastAsia" w:ascii="宋体" w:hAnsi="宋体" w:cs="宋体"/>
                <w:sz w:val="24"/>
              </w:rPr>
              <w:t>1</w:t>
            </w:r>
            <w:r>
              <w:rPr>
                <w:rFonts w:ascii="宋体" w:hAnsi="宋体" w:cs="宋体"/>
                <w:sz w:val="24"/>
              </w:rPr>
              <w:t>0万元的类似项目业绩的，加</w:t>
            </w:r>
            <w:r>
              <w:rPr>
                <w:rFonts w:hint="eastAsia" w:ascii="宋体" w:hAnsi="宋体" w:cs="宋体"/>
                <w:sz w:val="24"/>
              </w:rPr>
              <w:t>1</w:t>
            </w:r>
            <w:r>
              <w:rPr>
                <w:rFonts w:ascii="宋体" w:hAnsi="宋体" w:cs="宋体"/>
                <w:sz w:val="24"/>
              </w:rPr>
              <w:t>分。本小项最高得</w:t>
            </w:r>
            <w:r>
              <w:rPr>
                <w:rFonts w:hint="eastAsia" w:ascii="宋体" w:hAnsi="宋体" w:cs="宋体"/>
                <w:sz w:val="24"/>
              </w:rPr>
              <w:t>2</w:t>
            </w:r>
            <w:r>
              <w:rPr>
                <w:rFonts w:ascii="宋体" w:hAnsi="宋体" w:cs="宋体"/>
                <w:sz w:val="24"/>
              </w:rPr>
              <w:t>分。</w:t>
            </w:r>
          </w:p>
          <w:p w14:paraId="4FC15851">
            <w:pPr>
              <w:pStyle w:val="2"/>
              <w:spacing w:after="0"/>
              <w:rPr>
                <w:rFonts w:hint="eastAsia" w:ascii="宋体" w:hAnsi="宋体" w:cs="宋体"/>
                <w:sz w:val="24"/>
              </w:rPr>
            </w:pPr>
            <w:r>
              <w:rPr>
                <w:rFonts w:hint="eastAsia" w:ascii="宋体" w:hAnsi="宋体" w:cs="宋体"/>
                <w:sz w:val="24"/>
                <w:lang w:val="en-US" w:eastAsia="zh-CN"/>
              </w:rPr>
              <w:t>2、</w:t>
            </w:r>
            <w:r>
              <w:rPr>
                <w:rFonts w:ascii="宋体" w:hAnsi="宋体" w:cs="宋体"/>
                <w:sz w:val="24"/>
              </w:rPr>
              <w:t>每增加一个</w:t>
            </w:r>
            <w:r>
              <w:rPr>
                <w:rFonts w:hint="eastAsia" w:ascii="宋体" w:hAnsi="宋体" w:cs="宋体"/>
                <w:sz w:val="24"/>
              </w:rPr>
              <w:t>与化工行</w:t>
            </w:r>
            <w:r>
              <w:rPr>
                <w:rFonts w:hint="eastAsia" w:ascii="宋体" w:hAnsi="宋体" w:cs="宋体"/>
                <w:color w:val="auto"/>
                <w:sz w:val="24"/>
              </w:rPr>
              <w:t>业或从事危险品企业运营相关的</w:t>
            </w:r>
            <w:r>
              <w:rPr>
                <w:rFonts w:ascii="宋体" w:hAnsi="宋体" w:cs="宋体"/>
                <w:color w:val="auto"/>
                <w:sz w:val="24"/>
              </w:rPr>
              <w:t>单项</w:t>
            </w:r>
            <w:r>
              <w:rPr>
                <w:rFonts w:hint="eastAsia" w:ascii="宋体" w:hAnsi="宋体" w:cs="宋体"/>
                <w:color w:val="auto"/>
                <w:sz w:val="24"/>
              </w:rPr>
              <w:t>安全标准化评价</w:t>
            </w:r>
            <w:r>
              <w:rPr>
                <w:rFonts w:ascii="宋体" w:hAnsi="宋体" w:cs="宋体"/>
                <w:color w:val="auto"/>
                <w:sz w:val="24"/>
              </w:rPr>
              <w:t>合同金额≥</w:t>
            </w:r>
            <w:r>
              <w:rPr>
                <w:rFonts w:hint="eastAsia" w:ascii="宋体" w:hAnsi="宋体" w:cs="宋体"/>
                <w:color w:val="auto"/>
                <w:sz w:val="24"/>
              </w:rPr>
              <w:t>5</w:t>
            </w:r>
            <w:r>
              <w:rPr>
                <w:rFonts w:ascii="宋体" w:hAnsi="宋体" w:cs="宋体"/>
                <w:color w:val="auto"/>
                <w:sz w:val="24"/>
              </w:rPr>
              <w:t>万元的类似项</w:t>
            </w:r>
            <w:r>
              <w:rPr>
                <w:rFonts w:ascii="宋体" w:hAnsi="宋体" w:cs="宋体"/>
                <w:sz w:val="24"/>
              </w:rPr>
              <w:t>目业绩的，加</w:t>
            </w:r>
            <w:r>
              <w:rPr>
                <w:rFonts w:hint="eastAsia" w:ascii="宋体" w:hAnsi="宋体" w:cs="宋体"/>
                <w:sz w:val="24"/>
              </w:rPr>
              <w:t>1</w:t>
            </w:r>
            <w:r>
              <w:rPr>
                <w:rFonts w:ascii="宋体" w:hAnsi="宋体" w:cs="宋体"/>
                <w:sz w:val="24"/>
              </w:rPr>
              <w:t>分。本小项最高得</w:t>
            </w:r>
            <w:r>
              <w:rPr>
                <w:rFonts w:hint="eastAsia" w:ascii="宋体" w:hAnsi="宋体" w:cs="宋体"/>
                <w:sz w:val="24"/>
              </w:rPr>
              <w:t>3</w:t>
            </w:r>
            <w:r>
              <w:rPr>
                <w:rFonts w:ascii="宋体" w:hAnsi="宋体" w:cs="宋体"/>
                <w:sz w:val="24"/>
              </w:rPr>
              <w:t>分。</w:t>
            </w:r>
          </w:p>
          <w:p w14:paraId="221BFD58">
            <w:pPr>
              <w:pStyle w:val="2"/>
              <w:adjustRightInd w:val="0"/>
              <w:snapToGrid w:val="0"/>
              <w:rPr>
                <w:rFonts w:hint="eastAsia" w:ascii="宋体" w:hAnsi="宋体" w:cs="宋体"/>
                <w:sz w:val="24"/>
              </w:rPr>
            </w:pPr>
            <w:r>
              <w:rPr>
                <w:rFonts w:hint="eastAsia" w:ascii="宋体" w:hAnsi="宋体" w:cs="宋体"/>
                <w:sz w:val="24"/>
                <w:lang w:val="en-US" w:eastAsia="zh-CN"/>
              </w:rPr>
              <w:t>3、</w:t>
            </w:r>
            <w:r>
              <w:rPr>
                <w:rFonts w:ascii="宋体" w:hAnsi="宋体" w:cs="宋体"/>
                <w:sz w:val="24"/>
              </w:rPr>
              <w:t>每增加一个</w:t>
            </w:r>
            <w:r>
              <w:rPr>
                <w:rFonts w:hint="eastAsia" w:ascii="宋体" w:hAnsi="宋体" w:cs="宋体"/>
                <w:sz w:val="24"/>
              </w:rPr>
              <w:t>与化工行业相关的</w:t>
            </w:r>
            <w:r>
              <w:rPr>
                <w:rFonts w:ascii="宋体" w:hAnsi="宋体" w:cs="宋体"/>
                <w:sz w:val="24"/>
              </w:rPr>
              <w:t>单项合同金额≥</w:t>
            </w:r>
            <w:r>
              <w:rPr>
                <w:rFonts w:hint="eastAsia" w:ascii="宋体" w:hAnsi="宋体" w:cs="宋体"/>
                <w:sz w:val="24"/>
              </w:rPr>
              <w:t>25</w:t>
            </w:r>
            <w:r>
              <w:rPr>
                <w:rFonts w:ascii="宋体" w:hAnsi="宋体" w:cs="宋体"/>
                <w:sz w:val="24"/>
              </w:rPr>
              <w:t>万元的类似项目业绩的，加</w:t>
            </w:r>
            <w:r>
              <w:rPr>
                <w:rFonts w:hint="eastAsia" w:ascii="宋体" w:hAnsi="宋体" w:cs="宋体"/>
                <w:sz w:val="24"/>
              </w:rPr>
              <w:t>5</w:t>
            </w:r>
            <w:r>
              <w:rPr>
                <w:rFonts w:ascii="宋体" w:hAnsi="宋体" w:cs="宋体"/>
                <w:sz w:val="24"/>
              </w:rPr>
              <w:t>分。本小项最高得</w:t>
            </w:r>
            <w:r>
              <w:rPr>
                <w:rFonts w:hint="eastAsia" w:ascii="宋体" w:hAnsi="宋体" w:cs="宋体"/>
                <w:sz w:val="24"/>
              </w:rPr>
              <w:t>5</w:t>
            </w:r>
            <w:r>
              <w:rPr>
                <w:rFonts w:ascii="宋体" w:hAnsi="宋体" w:cs="宋体"/>
                <w:sz w:val="24"/>
              </w:rPr>
              <w:t>分。</w:t>
            </w:r>
          </w:p>
        </w:tc>
      </w:tr>
    </w:tbl>
    <w:p w14:paraId="16582446">
      <w:pPr>
        <w:pStyle w:val="17"/>
        <w:spacing w:before="0" w:beforeAutospacing="0" w:after="0" w:afterAutospacing="0" w:line="360" w:lineRule="auto"/>
        <w:ind w:firstLine="480"/>
        <w:textAlignment w:val="baseline"/>
        <w:rPr>
          <w:rFonts w:hint="eastAsia"/>
        </w:rPr>
      </w:pPr>
      <w:r>
        <w:rPr>
          <w:rFonts w:hint="eastAsia"/>
        </w:rPr>
        <w:t>3. 中选候选人排列规则顺序如下：</w:t>
      </w:r>
    </w:p>
    <w:p w14:paraId="4E74401C">
      <w:pPr>
        <w:pStyle w:val="17"/>
        <w:spacing w:before="0" w:beforeAutospacing="0" w:after="0" w:afterAutospacing="0" w:line="360" w:lineRule="auto"/>
        <w:ind w:firstLine="480"/>
        <w:textAlignment w:val="baseline"/>
        <w:rPr>
          <w:rFonts w:hint="eastAsia"/>
        </w:rPr>
      </w:pPr>
      <w:r>
        <w:rPr>
          <w:rFonts w:hint="eastAsia"/>
        </w:rPr>
        <w:t>a.按照评审总得分（FA）由高到低顺序排列。</w:t>
      </w:r>
    </w:p>
    <w:p w14:paraId="5CCC523A">
      <w:pPr>
        <w:pStyle w:val="17"/>
        <w:spacing w:before="0" w:beforeAutospacing="0" w:after="0" w:afterAutospacing="0" w:line="360" w:lineRule="auto"/>
        <w:ind w:firstLine="480"/>
        <w:textAlignment w:val="baseline"/>
        <w:rPr>
          <w:rFonts w:hint="eastAsia"/>
        </w:rPr>
      </w:pPr>
      <w:r>
        <w:rPr>
          <w:rFonts w:hint="eastAsia"/>
        </w:rPr>
        <w:t>b.评审总得分（FA）相同的，优先选择“项目负责人+项目组成员中高级工程师人数更多”的参选人；若高级工程师人数一致，按照评审价由低到高顺序排列。</w:t>
      </w:r>
    </w:p>
    <w:p w14:paraId="257B7608">
      <w:pPr>
        <w:pStyle w:val="17"/>
        <w:spacing w:before="0" w:beforeAutospacing="0" w:after="0" w:afterAutospacing="0" w:line="360" w:lineRule="auto"/>
        <w:ind w:firstLine="480"/>
        <w:textAlignment w:val="baseline"/>
        <w:rPr>
          <w:rFonts w:hint="eastAsia"/>
        </w:rPr>
      </w:pPr>
      <w:r>
        <w:rPr>
          <w:rFonts w:hint="eastAsia"/>
        </w:rPr>
        <w:t>c.评审总得分（FA）、评审价及高级工程师人数均相同的，按技术得分由高到低顺序排列。</w:t>
      </w:r>
    </w:p>
    <w:p w14:paraId="0C6BC728">
      <w:r>
        <w:rPr>
          <w:rFonts w:hint="eastAsia"/>
        </w:rPr>
        <w:br w:type="page"/>
      </w:r>
    </w:p>
    <w:p w14:paraId="1DC4107E">
      <w:pPr>
        <w:pStyle w:val="2"/>
        <w:spacing w:after="0"/>
        <w:jc w:val="center"/>
        <w:outlineLvl w:val="0"/>
        <w:rPr>
          <w:rFonts w:hint="eastAsia" w:ascii="黑体" w:hAnsi="黑体" w:eastAsia="黑体" w:cs="宋体"/>
          <w:sz w:val="28"/>
          <w:szCs w:val="28"/>
        </w:rPr>
      </w:pPr>
      <w:bookmarkStart w:id="60" w:name="_Toc208325537"/>
      <w:r>
        <w:rPr>
          <w:rFonts w:hint="eastAsia" w:ascii="黑体" w:hAnsi="黑体" w:eastAsia="黑体" w:cs="宋体"/>
          <w:sz w:val="28"/>
          <w:szCs w:val="28"/>
        </w:rPr>
        <w:t>第五章</w:t>
      </w:r>
      <w:r>
        <w:rPr>
          <w:rFonts w:hint="eastAsia" w:ascii="Calibri" w:hAnsi="Calibri" w:eastAsia="黑体" w:cs="Calibri"/>
          <w:sz w:val="28"/>
          <w:szCs w:val="28"/>
        </w:rPr>
        <w:t xml:space="preserve">  </w:t>
      </w:r>
      <w:r>
        <w:rPr>
          <w:rFonts w:hint="eastAsia" w:ascii="黑体" w:hAnsi="黑体" w:eastAsia="黑体" w:cs="宋体"/>
          <w:sz w:val="28"/>
          <w:szCs w:val="28"/>
        </w:rPr>
        <w:t>比选内容及要求</w:t>
      </w:r>
      <w:bookmarkEnd w:id="60"/>
    </w:p>
    <w:p w14:paraId="05B965C7">
      <w:pPr>
        <w:pStyle w:val="5"/>
        <w:ind w:left="420" w:leftChars="200"/>
        <w:rPr>
          <w:rFonts w:hint="eastAsia"/>
        </w:rPr>
      </w:pPr>
      <w:bookmarkStart w:id="61" w:name="_Toc169117864"/>
      <w:bookmarkStart w:id="62" w:name="_Toc208325538"/>
      <w:bookmarkStart w:id="63" w:name="_Toc21092"/>
      <w:bookmarkStart w:id="64" w:name="_Toc30357"/>
      <w:r>
        <w:rPr>
          <w:rFonts w:hint="eastAsia"/>
        </w:rPr>
        <w:t>一、项目概况</w:t>
      </w:r>
      <w:bookmarkEnd w:id="61"/>
      <w:bookmarkEnd w:id="62"/>
      <w:bookmarkEnd w:id="63"/>
      <w:bookmarkEnd w:id="64"/>
    </w:p>
    <w:p w14:paraId="34823905">
      <w:pPr>
        <w:pStyle w:val="17"/>
        <w:spacing w:before="75" w:beforeAutospacing="0" w:after="75" w:afterAutospacing="0" w:line="360" w:lineRule="auto"/>
        <w:ind w:firstLine="480" w:firstLineChars="200"/>
        <w:jc w:val="both"/>
        <w:textAlignment w:val="baseline"/>
        <w:rPr>
          <w:rFonts w:hint="eastAsia"/>
        </w:rPr>
      </w:pPr>
      <w:r>
        <w:rPr>
          <w:rFonts w:hint="eastAsia"/>
        </w:rPr>
        <w:t>项目名称：福化古雷化工企业安全、工艺、设备管理体系评审技术服务项目。为进一步规范福化古雷所管理企业安全、工艺、设备管理工作，排查管理体系中存在的漏洞与隐患，提升企业整体管理水平和风险防控能力，保障企业生产经营活动的安全、稳定、高效运行，现需采购专业技术服务，对我司所管理的三家化工企业的安全、工艺、设备管理体系进行全面评审。服务内容包括：编制体系评审工作方案、制定评审细则表、组织专家对福化古雷所管理的三家化工企业进行一次体系的符合性评价、出具评审报告等服务。</w:t>
      </w:r>
    </w:p>
    <w:p w14:paraId="02D2315D">
      <w:pPr>
        <w:pStyle w:val="5"/>
        <w:ind w:left="420" w:leftChars="200"/>
        <w:rPr>
          <w:rFonts w:hint="eastAsia"/>
        </w:rPr>
      </w:pPr>
      <w:bookmarkStart w:id="65" w:name="_Toc21850"/>
      <w:bookmarkStart w:id="66" w:name="_Toc525"/>
      <w:bookmarkStart w:id="67" w:name="_Toc30138"/>
      <w:bookmarkStart w:id="68" w:name="_Toc208325539"/>
      <w:bookmarkStart w:id="69" w:name="_Toc18122"/>
      <w:bookmarkStart w:id="70" w:name="_Toc6082"/>
      <w:r>
        <w:rPr>
          <w:rFonts w:hint="eastAsia"/>
        </w:rPr>
        <w:t>二、服务内容及对象</w:t>
      </w:r>
      <w:bookmarkEnd w:id="65"/>
      <w:bookmarkEnd w:id="66"/>
      <w:bookmarkEnd w:id="67"/>
      <w:bookmarkEnd w:id="68"/>
      <w:bookmarkEnd w:id="69"/>
      <w:bookmarkEnd w:id="70"/>
    </w:p>
    <w:p w14:paraId="54BC6745">
      <w:pPr>
        <w:pStyle w:val="2"/>
        <w:spacing w:after="0" w:line="360" w:lineRule="auto"/>
        <w:ind w:firstLine="482" w:firstLineChars="200"/>
        <w:rPr>
          <w:b/>
          <w:bCs/>
        </w:rPr>
      </w:pPr>
      <w:r>
        <w:rPr>
          <w:rFonts w:hint="eastAsia"/>
          <w:b/>
          <w:bCs/>
          <w:sz w:val="24"/>
        </w:rPr>
        <w:t>服务内容：</w:t>
      </w:r>
    </w:p>
    <w:p w14:paraId="5AD29B88">
      <w:pPr>
        <w:pStyle w:val="2"/>
        <w:spacing w:line="360" w:lineRule="auto"/>
        <w:ind w:firstLine="480" w:firstLineChars="200"/>
        <w:rPr>
          <w:rFonts w:hint="eastAsia" w:ascii="宋体" w:hAnsi="宋体" w:cs="宋体"/>
          <w:kern w:val="0"/>
          <w:sz w:val="24"/>
        </w:rPr>
      </w:pPr>
      <w:r>
        <w:rPr>
          <w:rFonts w:hint="eastAsia" w:ascii="宋体" w:hAnsi="宋体" w:cs="宋体"/>
          <w:kern w:val="0"/>
          <w:sz w:val="24"/>
        </w:rPr>
        <w:t>对福化古雷所管理的三家化工企业进行一次化工专业化管理体系的符合性评价，包括化工企业安全、工艺、设备管理体系。</w:t>
      </w:r>
    </w:p>
    <w:p w14:paraId="5CA59C9A">
      <w:pPr>
        <w:pStyle w:val="17"/>
        <w:spacing w:before="0" w:beforeAutospacing="0" w:after="0" w:afterAutospacing="0" w:line="360" w:lineRule="auto"/>
        <w:ind w:firstLine="482" w:firstLineChars="200"/>
        <w:jc w:val="both"/>
        <w:rPr>
          <w:rFonts w:hint="eastAsia"/>
        </w:rPr>
      </w:pPr>
      <w:r>
        <w:rPr>
          <w:rFonts w:hint="eastAsia"/>
          <w:b/>
          <w:bCs/>
        </w:rPr>
        <w:t>服务期限</w:t>
      </w:r>
      <w:r>
        <w:rPr>
          <w:rFonts w:hint="eastAsia"/>
        </w:rPr>
        <w:t>：合同签订后45个日历日。</w:t>
      </w:r>
    </w:p>
    <w:p w14:paraId="5875A4DF">
      <w:pPr>
        <w:pStyle w:val="17"/>
        <w:spacing w:before="0" w:beforeAutospacing="0" w:after="0" w:afterAutospacing="0" w:line="360" w:lineRule="auto"/>
        <w:ind w:firstLine="482" w:firstLineChars="200"/>
        <w:jc w:val="both"/>
        <w:rPr>
          <w:rFonts w:hint="eastAsia"/>
        </w:rPr>
      </w:pPr>
      <w:r>
        <w:rPr>
          <w:rFonts w:hint="eastAsia"/>
          <w:b/>
          <w:bCs/>
        </w:rPr>
        <w:t>服务对象</w:t>
      </w:r>
      <w:r>
        <w:rPr>
          <w:rFonts w:hint="eastAsia"/>
        </w:rPr>
        <w:t>：涉及福化古雷所管理的其中3家化工企业，详见下表。</w:t>
      </w:r>
    </w:p>
    <w:tbl>
      <w:tblPr>
        <w:tblStyle w:val="21"/>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6276"/>
        <w:gridCol w:w="2021"/>
      </w:tblGrid>
      <w:tr w14:paraId="73D33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0" w:type="dxa"/>
            <w:vAlign w:val="center"/>
          </w:tcPr>
          <w:p w14:paraId="3442F28D">
            <w:pPr>
              <w:pStyle w:val="17"/>
              <w:spacing w:before="0" w:beforeAutospacing="0" w:after="0" w:afterAutospacing="0" w:line="360" w:lineRule="auto"/>
              <w:jc w:val="both"/>
              <w:rPr>
                <w:rFonts w:hint="eastAsia"/>
              </w:rPr>
            </w:pPr>
            <w:r>
              <w:t>序号</w:t>
            </w:r>
          </w:p>
        </w:tc>
        <w:tc>
          <w:tcPr>
            <w:tcW w:w="6276" w:type="dxa"/>
            <w:vAlign w:val="center"/>
          </w:tcPr>
          <w:p w14:paraId="075FE883">
            <w:pPr>
              <w:pStyle w:val="17"/>
              <w:spacing w:before="0" w:beforeAutospacing="0" w:after="0" w:afterAutospacing="0" w:line="360" w:lineRule="auto"/>
              <w:jc w:val="both"/>
              <w:rPr>
                <w:rFonts w:hint="eastAsia"/>
              </w:rPr>
            </w:pPr>
            <w:r>
              <w:t>公司名称</w:t>
            </w:r>
          </w:p>
        </w:tc>
        <w:tc>
          <w:tcPr>
            <w:tcW w:w="2021" w:type="dxa"/>
            <w:vAlign w:val="center"/>
          </w:tcPr>
          <w:p w14:paraId="0567A28A">
            <w:pPr>
              <w:pStyle w:val="17"/>
              <w:spacing w:before="0" w:beforeAutospacing="0" w:after="0" w:afterAutospacing="0" w:line="360" w:lineRule="auto"/>
              <w:jc w:val="both"/>
              <w:rPr>
                <w:rFonts w:hint="eastAsia"/>
              </w:rPr>
            </w:pPr>
            <w:r>
              <w:t>简称</w:t>
            </w:r>
          </w:p>
        </w:tc>
      </w:tr>
      <w:tr w14:paraId="09E4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0" w:type="dxa"/>
            <w:vAlign w:val="center"/>
          </w:tcPr>
          <w:p w14:paraId="09E79E3E">
            <w:pPr>
              <w:pStyle w:val="17"/>
              <w:spacing w:before="0" w:beforeAutospacing="0" w:after="0" w:afterAutospacing="0" w:line="360" w:lineRule="auto"/>
              <w:jc w:val="both"/>
              <w:rPr>
                <w:rFonts w:hint="eastAsia"/>
              </w:rPr>
            </w:pPr>
            <w:r>
              <w:t>1</w:t>
            </w:r>
          </w:p>
        </w:tc>
        <w:tc>
          <w:tcPr>
            <w:tcW w:w="6276" w:type="dxa"/>
            <w:vAlign w:val="center"/>
          </w:tcPr>
          <w:p w14:paraId="15AE73E3">
            <w:pPr>
              <w:pStyle w:val="17"/>
              <w:spacing w:before="0" w:beforeAutospacing="0" w:after="0" w:afterAutospacing="0" w:line="360" w:lineRule="auto"/>
              <w:jc w:val="both"/>
              <w:rPr>
                <w:rFonts w:hint="eastAsia"/>
              </w:rPr>
            </w:pPr>
            <w:r>
              <w:t>福建福海创石油化工有限公司</w:t>
            </w:r>
          </w:p>
        </w:tc>
        <w:tc>
          <w:tcPr>
            <w:tcW w:w="2021" w:type="dxa"/>
            <w:vAlign w:val="center"/>
          </w:tcPr>
          <w:p w14:paraId="60A08A41">
            <w:pPr>
              <w:pStyle w:val="17"/>
              <w:spacing w:before="0" w:beforeAutospacing="0" w:after="0" w:afterAutospacing="0" w:line="360" w:lineRule="auto"/>
              <w:jc w:val="both"/>
              <w:rPr>
                <w:rFonts w:hint="eastAsia"/>
              </w:rPr>
            </w:pPr>
            <w:r>
              <w:t>福海创</w:t>
            </w:r>
          </w:p>
        </w:tc>
      </w:tr>
      <w:tr w14:paraId="5C49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0" w:type="dxa"/>
            <w:vAlign w:val="center"/>
          </w:tcPr>
          <w:p w14:paraId="27E79A97">
            <w:pPr>
              <w:pStyle w:val="17"/>
              <w:spacing w:before="0" w:beforeAutospacing="0" w:after="0" w:afterAutospacing="0" w:line="360" w:lineRule="auto"/>
              <w:jc w:val="both"/>
              <w:rPr>
                <w:rFonts w:hint="eastAsia"/>
              </w:rPr>
            </w:pPr>
            <w:r>
              <w:t>2</w:t>
            </w:r>
          </w:p>
        </w:tc>
        <w:tc>
          <w:tcPr>
            <w:tcW w:w="6276" w:type="dxa"/>
            <w:vAlign w:val="center"/>
          </w:tcPr>
          <w:p w14:paraId="7B224CEC">
            <w:pPr>
              <w:pStyle w:val="17"/>
              <w:spacing w:before="0" w:beforeAutospacing="0" w:after="0" w:afterAutospacing="0" w:line="360" w:lineRule="auto"/>
              <w:jc w:val="both"/>
              <w:rPr>
                <w:rFonts w:hint="eastAsia"/>
              </w:rPr>
            </w:pPr>
            <w:r>
              <w:t>福建海泉化学有限公司</w:t>
            </w:r>
          </w:p>
        </w:tc>
        <w:tc>
          <w:tcPr>
            <w:tcW w:w="2021" w:type="dxa"/>
            <w:vAlign w:val="center"/>
          </w:tcPr>
          <w:p w14:paraId="6DEDF12B">
            <w:pPr>
              <w:pStyle w:val="17"/>
              <w:spacing w:before="0" w:beforeAutospacing="0" w:after="0" w:afterAutospacing="0" w:line="360" w:lineRule="auto"/>
              <w:jc w:val="both"/>
              <w:rPr>
                <w:rFonts w:hint="eastAsia"/>
              </w:rPr>
            </w:pPr>
            <w:r>
              <w:t>海泉化学</w:t>
            </w:r>
          </w:p>
        </w:tc>
      </w:tr>
      <w:tr w14:paraId="312A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0" w:type="dxa"/>
            <w:vAlign w:val="center"/>
          </w:tcPr>
          <w:p w14:paraId="1B1B54EC">
            <w:pPr>
              <w:pStyle w:val="17"/>
              <w:spacing w:before="0" w:beforeAutospacing="0" w:after="0" w:afterAutospacing="0" w:line="360" w:lineRule="auto"/>
              <w:jc w:val="both"/>
              <w:rPr>
                <w:rFonts w:hint="eastAsia"/>
              </w:rPr>
            </w:pPr>
            <w:r>
              <w:rPr>
                <w:rFonts w:hint="eastAsia"/>
              </w:rPr>
              <w:t>3</w:t>
            </w:r>
          </w:p>
        </w:tc>
        <w:tc>
          <w:tcPr>
            <w:tcW w:w="6276" w:type="dxa"/>
            <w:vAlign w:val="center"/>
          </w:tcPr>
          <w:p w14:paraId="0295A938">
            <w:pPr>
              <w:pStyle w:val="17"/>
              <w:spacing w:before="0" w:beforeAutospacing="0" w:after="0" w:afterAutospacing="0" w:line="360" w:lineRule="auto"/>
              <w:jc w:val="both"/>
              <w:rPr>
                <w:rFonts w:hint="eastAsia"/>
              </w:rPr>
            </w:pPr>
            <w:r>
              <w:t>福建省福化鲁华新材料有限公司</w:t>
            </w:r>
          </w:p>
        </w:tc>
        <w:tc>
          <w:tcPr>
            <w:tcW w:w="2021" w:type="dxa"/>
            <w:vAlign w:val="center"/>
          </w:tcPr>
          <w:p w14:paraId="428987C2">
            <w:pPr>
              <w:pStyle w:val="17"/>
              <w:spacing w:before="0" w:beforeAutospacing="0" w:after="0" w:afterAutospacing="0" w:line="360" w:lineRule="auto"/>
              <w:jc w:val="both"/>
              <w:rPr>
                <w:rFonts w:hint="eastAsia"/>
              </w:rPr>
            </w:pPr>
            <w:r>
              <w:t>福化鲁华</w:t>
            </w:r>
          </w:p>
        </w:tc>
      </w:tr>
    </w:tbl>
    <w:p w14:paraId="33C512CC">
      <w:pPr>
        <w:pStyle w:val="5"/>
        <w:ind w:left="420" w:leftChars="200"/>
        <w:rPr>
          <w:rFonts w:hint="eastAsia"/>
        </w:rPr>
      </w:pPr>
      <w:bookmarkStart w:id="71" w:name="_Toc18677"/>
      <w:bookmarkStart w:id="72" w:name="_Toc6953"/>
      <w:bookmarkStart w:id="73" w:name="_Toc9563"/>
      <w:bookmarkStart w:id="74" w:name="_Toc2748"/>
      <w:bookmarkStart w:id="75" w:name="_Toc26048"/>
      <w:bookmarkStart w:id="76" w:name="_Toc208325540"/>
      <w:r>
        <w:rPr>
          <w:rFonts w:hint="eastAsia"/>
        </w:rPr>
        <w:t>三、</w:t>
      </w:r>
      <w:bookmarkEnd w:id="71"/>
      <w:bookmarkEnd w:id="72"/>
      <w:bookmarkEnd w:id="73"/>
      <w:bookmarkEnd w:id="74"/>
      <w:bookmarkEnd w:id="75"/>
      <w:r>
        <w:rPr>
          <w:rFonts w:hint="eastAsia"/>
        </w:rPr>
        <w:t>服务依据</w:t>
      </w:r>
      <w:bookmarkEnd w:id="76"/>
    </w:p>
    <w:p w14:paraId="2A6EF19B">
      <w:pPr>
        <w:pStyle w:val="2"/>
        <w:spacing w:line="360" w:lineRule="auto"/>
        <w:ind w:firstLine="480" w:firstLineChars="200"/>
        <w:rPr>
          <w:rFonts w:hint="eastAsia" w:ascii="宋体" w:hAnsi="宋体" w:cs="宋体"/>
          <w:kern w:val="0"/>
          <w:sz w:val="24"/>
        </w:rPr>
      </w:pPr>
      <w:r>
        <w:rPr>
          <w:rFonts w:hint="eastAsia" w:ascii="宋体" w:hAnsi="宋体" w:cs="宋体"/>
          <w:kern w:val="0"/>
          <w:sz w:val="24"/>
        </w:rPr>
        <w:t>1.能化集团化工企业安全管理体系</w:t>
      </w:r>
    </w:p>
    <w:p w14:paraId="7D378472">
      <w:pPr>
        <w:pStyle w:val="2"/>
        <w:spacing w:line="360" w:lineRule="auto"/>
        <w:ind w:firstLine="480" w:firstLineChars="200"/>
        <w:rPr>
          <w:rFonts w:hint="eastAsia" w:ascii="宋体" w:hAnsi="宋体" w:cs="宋体"/>
          <w:kern w:val="0"/>
          <w:sz w:val="24"/>
        </w:rPr>
      </w:pPr>
      <w:r>
        <w:rPr>
          <w:rFonts w:hint="eastAsia" w:ascii="宋体" w:hAnsi="宋体" w:cs="宋体"/>
          <w:kern w:val="0"/>
          <w:sz w:val="24"/>
        </w:rPr>
        <w:t>2.能化集团化工企业工艺管理体系</w:t>
      </w:r>
    </w:p>
    <w:p w14:paraId="55E11202">
      <w:pPr>
        <w:pStyle w:val="2"/>
        <w:spacing w:line="360" w:lineRule="auto"/>
        <w:ind w:firstLine="480" w:firstLineChars="200"/>
        <w:rPr>
          <w:rFonts w:hint="eastAsia" w:ascii="宋体" w:hAnsi="宋体" w:cs="宋体"/>
          <w:kern w:val="0"/>
          <w:sz w:val="24"/>
        </w:rPr>
      </w:pPr>
      <w:r>
        <w:rPr>
          <w:rFonts w:hint="eastAsia" w:ascii="宋体" w:hAnsi="宋体" w:cs="宋体"/>
          <w:kern w:val="0"/>
          <w:sz w:val="24"/>
        </w:rPr>
        <w:t>3.能化集团化工企业设备管理体系</w:t>
      </w:r>
    </w:p>
    <w:p w14:paraId="367CB5A9">
      <w:pPr>
        <w:pStyle w:val="2"/>
        <w:spacing w:line="360" w:lineRule="auto"/>
        <w:ind w:firstLine="480" w:firstLineChars="200"/>
        <w:rPr>
          <w:rFonts w:hint="eastAsia" w:ascii="宋体" w:hAnsi="宋体" w:cs="宋体"/>
          <w:kern w:val="0"/>
          <w:sz w:val="24"/>
        </w:rPr>
      </w:pPr>
      <w:r>
        <w:rPr>
          <w:rFonts w:hint="eastAsia" w:ascii="宋体" w:hAnsi="宋体" w:cs="宋体"/>
          <w:kern w:val="0"/>
          <w:sz w:val="24"/>
        </w:rPr>
        <w:t>4.相关安全管理体系和法律法规、标准等要求。</w:t>
      </w:r>
    </w:p>
    <w:p w14:paraId="6951F38D">
      <w:pPr>
        <w:pStyle w:val="5"/>
        <w:ind w:left="420" w:leftChars="200"/>
        <w:rPr>
          <w:rFonts w:hint="eastAsia"/>
        </w:rPr>
      </w:pPr>
      <w:bookmarkStart w:id="77" w:name="_Toc208325541"/>
      <w:r>
        <w:rPr>
          <w:rFonts w:hint="eastAsia"/>
        </w:rPr>
        <w:t>四、比选内容及要求</w:t>
      </w:r>
      <w:bookmarkEnd w:id="77"/>
    </w:p>
    <w:p w14:paraId="07F95C4A">
      <w:pPr>
        <w:pStyle w:val="2"/>
        <w:spacing w:line="360" w:lineRule="auto"/>
        <w:ind w:firstLine="480" w:firstLineChars="200"/>
        <w:rPr>
          <w:rFonts w:hint="eastAsia" w:ascii="宋体" w:hAnsi="宋体" w:cs="宋体"/>
          <w:kern w:val="0"/>
          <w:sz w:val="24"/>
        </w:rPr>
      </w:pPr>
      <w:r>
        <w:rPr>
          <w:rFonts w:hint="eastAsia" w:ascii="宋体" w:hAnsi="宋体" w:cs="宋体"/>
          <w:kern w:val="0"/>
          <w:sz w:val="24"/>
        </w:rPr>
        <w:t>本次化工企业安全、工艺、设备管理体系评审技术服务分为前期准备、现场检查、评估反馈、报告编制等四个步骤。</w:t>
      </w:r>
    </w:p>
    <w:p w14:paraId="6BA7D9C8">
      <w:pPr>
        <w:pStyle w:val="2"/>
        <w:spacing w:line="360" w:lineRule="auto"/>
        <w:ind w:firstLine="480"/>
        <w:rPr>
          <w:rFonts w:hint="eastAsia" w:ascii="宋体" w:hAnsi="宋体" w:cs="宋体"/>
          <w:kern w:val="0"/>
          <w:sz w:val="24"/>
        </w:rPr>
      </w:pPr>
      <w:r>
        <w:rPr>
          <w:rFonts w:hint="eastAsia" w:ascii="宋体" w:hAnsi="宋体" w:cs="宋体"/>
          <w:kern w:val="0"/>
          <w:sz w:val="24"/>
        </w:rPr>
        <w:t>1.前期准备</w:t>
      </w:r>
    </w:p>
    <w:p w14:paraId="215AC2B2">
      <w:pPr>
        <w:pStyle w:val="2"/>
        <w:spacing w:line="360" w:lineRule="auto"/>
        <w:ind w:firstLine="480"/>
        <w:rPr>
          <w:rFonts w:hint="eastAsia" w:ascii="宋体" w:hAnsi="宋体" w:cs="宋体"/>
          <w:kern w:val="0"/>
          <w:sz w:val="24"/>
        </w:rPr>
      </w:pPr>
      <w:r>
        <w:rPr>
          <w:rFonts w:hint="eastAsia" w:ascii="宋体" w:hAnsi="宋体" w:cs="宋体"/>
          <w:kern w:val="0"/>
          <w:sz w:val="24"/>
        </w:rPr>
        <w:t>（1）由福化古雷与第三方技术服务单位组建化工企业专业化管理体系评价工作小组，由技术服务单位编制管理体系评价工作方案及计划，福化古雷进行确认；</w:t>
      </w:r>
    </w:p>
    <w:p w14:paraId="31EBF604">
      <w:pPr>
        <w:pStyle w:val="2"/>
        <w:spacing w:line="360" w:lineRule="auto"/>
        <w:ind w:firstLine="480"/>
        <w:rPr>
          <w:rFonts w:hint="eastAsia" w:ascii="宋体" w:hAnsi="宋体" w:cs="宋体"/>
          <w:kern w:val="0"/>
          <w:sz w:val="24"/>
        </w:rPr>
      </w:pPr>
      <w:r>
        <w:rPr>
          <w:rFonts w:hint="eastAsia" w:ascii="宋体" w:hAnsi="宋体" w:cs="宋体"/>
          <w:kern w:val="0"/>
          <w:sz w:val="24"/>
        </w:rPr>
        <w:t>（2）技术服务单位专家根据化工企业安全、工艺、设备管理体系内容以及相关国家法律法规、标准等，与福化古雷共同梳理并制定专业化管理体系评价准则，形成相关检查表。</w:t>
      </w:r>
    </w:p>
    <w:p w14:paraId="4449B8A4">
      <w:pPr>
        <w:pStyle w:val="2"/>
        <w:spacing w:line="360" w:lineRule="auto"/>
        <w:ind w:firstLine="480"/>
        <w:rPr>
          <w:rFonts w:hint="eastAsia" w:ascii="宋体" w:hAnsi="宋体" w:cs="宋体"/>
          <w:kern w:val="0"/>
          <w:sz w:val="24"/>
        </w:rPr>
      </w:pPr>
      <w:r>
        <w:rPr>
          <w:rFonts w:hint="eastAsia" w:ascii="宋体" w:hAnsi="宋体" w:cs="宋体"/>
          <w:kern w:val="0"/>
          <w:sz w:val="24"/>
        </w:rPr>
        <w:t>2.现场检查</w:t>
      </w:r>
    </w:p>
    <w:p w14:paraId="5B3D4677">
      <w:pPr>
        <w:pStyle w:val="2"/>
        <w:spacing w:line="360" w:lineRule="auto"/>
        <w:ind w:firstLine="480"/>
        <w:rPr>
          <w:rFonts w:hint="eastAsia" w:ascii="宋体" w:hAnsi="宋体" w:cs="宋体"/>
          <w:kern w:val="0"/>
          <w:sz w:val="24"/>
        </w:rPr>
      </w:pPr>
      <w:r>
        <w:rPr>
          <w:rFonts w:hint="eastAsia" w:ascii="宋体" w:hAnsi="宋体" w:cs="宋体"/>
          <w:kern w:val="0"/>
          <w:sz w:val="24"/>
        </w:rPr>
        <w:t>（1）现场检查包含安全、工艺、设备等专业，技术服务单位应根据检查需求，设置项目小组，组长至少配备1名，且具有高级职称；项目小组成员要求每个专业分别配备至少2名专家，且各专业配备的专家成员要求具有中级及以上职称，且拥有丰富的管理经验和现场实践经验。</w:t>
      </w:r>
    </w:p>
    <w:p w14:paraId="58C529BB">
      <w:pPr>
        <w:pStyle w:val="2"/>
        <w:spacing w:line="360" w:lineRule="auto"/>
        <w:ind w:firstLine="480"/>
        <w:rPr>
          <w:rFonts w:hint="eastAsia" w:ascii="宋体" w:hAnsi="宋体" w:cs="宋体"/>
          <w:kern w:val="0"/>
          <w:sz w:val="24"/>
        </w:rPr>
      </w:pPr>
      <w:r>
        <w:rPr>
          <w:rFonts w:hint="eastAsia" w:ascii="宋体" w:hAnsi="宋体" w:cs="宋体"/>
          <w:kern w:val="0"/>
          <w:sz w:val="24"/>
        </w:rPr>
        <w:t>（2）现场检查主要以文件审查、现场验证、人员访谈等方式进行，按照前期准备中制定的检查表，全面评估管理体系在企业的落地情况，识别出管理短板。</w:t>
      </w:r>
    </w:p>
    <w:p w14:paraId="1EDED75B">
      <w:pPr>
        <w:pStyle w:val="2"/>
        <w:spacing w:line="360" w:lineRule="auto"/>
        <w:ind w:firstLine="480"/>
        <w:rPr>
          <w:rFonts w:hint="eastAsia" w:ascii="宋体" w:hAnsi="宋体" w:cs="宋体"/>
          <w:kern w:val="0"/>
          <w:sz w:val="24"/>
        </w:rPr>
      </w:pPr>
      <w:r>
        <w:rPr>
          <w:rFonts w:hint="eastAsia" w:ascii="宋体" w:hAnsi="宋体" w:cs="宋体"/>
          <w:kern w:val="0"/>
          <w:sz w:val="24"/>
        </w:rPr>
        <w:t>3.评价反馈</w:t>
      </w:r>
    </w:p>
    <w:p w14:paraId="65F89187">
      <w:pPr>
        <w:pStyle w:val="2"/>
        <w:spacing w:line="360" w:lineRule="auto"/>
        <w:ind w:firstLine="480"/>
        <w:rPr>
          <w:rFonts w:hint="eastAsia" w:ascii="宋体" w:hAnsi="宋体" w:cs="宋体"/>
          <w:kern w:val="0"/>
          <w:sz w:val="24"/>
        </w:rPr>
      </w:pPr>
      <w:r>
        <w:rPr>
          <w:rFonts w:hint="eastAsia" w:ascii="宋体" w:hAnsi="宋体" w:cs="宋体"/>
          <w:kern w:val="0"/>
          <w:sz w:val="24"/>
        </w:rPr>
        <w:t>现场检查结束后，评价小组根据现场检查和评估的结果，及时与福化古雷及所管理的企业进行反馈、交流。</w:t>
      </w:r>
    </w:p>
    <w:p w14:paraId="0BF3CF39">
      <w:pPr>
        <w:pStyle w:val="2"/>
        <w:spacing w:line="360" w:lineRule="auto"/>
        <w:ind w:firstLine="480"/>
        <w:rPr>
          <w:rFonts w:hint="eastAsia" w:ascii="宋体" w:hAnsi="宋体" w:cs="宋体"/>
          <w:kern w:val="0"/>
          <w:sz w:val="24"/>
        </w:rPr>
      </w:pPr>
      <w:r>
        <w:rPr>
          <w:rFonts w:hint="eastAsia" w:ascii="宋体" w:hAnsi="宋体" w:cs="宋体"/>
          <w:kern w:val="0"/>
          <w:sz w:val="24"/>
        </w:rPr>
        <w:t>4.报告编制</w:t>
      </w:r>
    </w:p>
    <w:p w14:paraId="3BD806C4">
      <w:pPr>
        <w:pStyle w:val="2"/>
        <w:spacing w:line="360" w:lineRule="auto"/>
        <w:ind w:firstLine="480" w:firstLineChars="200"/>
        <w:rPr>
          <w:rFonts w:hint="eastAsia" w:ascii="宋体" w:hAnsi="宋体" w:cs="宋体"/>
          <w:kern w:val="0"/>
          <w:sz w:val="24"/>
        </w:rPr>
      </w:pPr>
      <w:r>
        <w:rPr>
          <w:rFonts w:hint="eastAsia" w:ascii="宋体" w:hAnsi="宋体" w:cs="宋体"/>
          <w:kern w:val="0"/>
          <w:sz w:val="24"/>
        </w:rPr>
        <w:t>根据现场督查情况，对各企业管理体系的落实情况进行评分，同时针对现场检查发现的问题，形成问题清单并提出改进建议，最终生成管理体系的评价报告。</w:t>
      </w:r>
    </w:p>
    <w:p w14:paraId="698856B5">
      <w:pPr>
        <w:pStyle w:val="5"/>
        <w:ind w:left="420" w:leftChars="200"/>
        <w:rPr>
          <w:rFonts w:hint="eastAsia"/>
        </w:rPr>
      </w:pPr>
      <w:bookmarkStart w:id="78" w:name="_Toc208325542"/>
      <w:r>
        <w:rPr>
          <w:rFonts w:hint="eastAsia"/>
        </w:rPr>
        <w:t>五、其他要求</w:t>
      </w:r>
      <w:bookmarkEnd w:id="78"/>
    </w:p>
    <w:p w14:paraId="6E8B083A">
      <w:pPr>
        <w:pStyle w:val="2"/>
        <w:spacing w:line="360" w:lineRule="auto"/>
        <w:ind w:firstLine="480" w:firstLineChars="200"/>
        <w:rPr>
          <w:rFonts w:hint="eastAsia" w:ascii="宋体" w:hAnsi="宋体" w:cs="宋体"/>
          <w:kern w:val="0"/>
          <w:sz w:val="24"/>
        </w:rPr>
      </w:pPr>
      <w:r>
        <w:rPr>
          <w:rFonts w:hint="eastAsia" w:ascii="宋体" w:hAnsi="宋体" w:cs="宋体"/>
          <w:kern w:val="0"/>
          <w:sz w:val="24"/>
        </w:rPr>
        <w:t>1.中选人需严格按照参选文件所列专家组成员提供服务，无特殊情况不得更换；若确需更换，应保证按同等级替换（即替换的专家与原专家具备同等职称及对应专业、同等或更高行业评审经验），并提前5个工作日向比选方提交书面申请及替换专家的完整资质证明材料，经比选方书面同意后方可更换。</w:t>
      </w:r>
    </w:p>
    <w:p w14:paraId="2E733EDD">
      <w:pPr>
        <w:pStyle w:val="2"/>
        <w:spacing w:line="360" w:lineRule="auto"/>
        <w:ind w:firstLine="480" w:firstLineChars="200"/>
        <w:rPr>
          <w:rFonts w:hint="eastAsia" w:ascii="宋体" w:hAnsi="宋体" w:cs="宋体"/>
          <w:kern w:val="0"/>
          <w:sz w:val="24"/>
        </w:rPr>
      </w:pPr>
      <w:r>
        <w:rPr>
          <w:rFonts w:hint="eastAsia" w:ascii="宋体" w:hAnsi="宋体" w:cs="宋体"/>
          <w:kern w:val="0"/>
          <w:sz w:val="24"/>
        </w:rPr>
        <w:t>2.本说明未尽事项，可在技术交流阶段澄清。</w:t>
      </w:r>
    </w:p>
    <w:p w14:paraId="163F6759">
      <w:pPr>
        <w:pStyle w:val="2"/>
        <w:spacing w:line="360" w:lineRule="auto"/>
        <w:ind w:firstLine="480" w:firstLineChars="200"/>
        <w:rPr>
          <w:rFonts w:hint="eastAsia" w:ascii="宋体" w:hAnsi="宋体" w:cs="宋体"/>
          <w:kern w:val="0"/>
          <w:sz w:val="24"/>
        </w:rPr>
      </w:pPr>
      <w:r>
        <w:rPr>
          <w:rFonts w:hint="eastAsia" w:ascii="宋体" w:hAnsi="宋体" w:cs="宋体"/>
          <w:kern w:val="0"/>
          <w:sz w:val="24"/>
        </w:rPr>
        <w:br w:type="page"/>
      </w:r>
    </w:p>
    <w:p w14:paraId="196C8A9D">
      <w:pPr>
        <w:pStyle w:val="2"/>
        <w:spacing w:after="0"/>
        <w:jc w:val="center"/>
        <w:outlineLvl w:val="0"/>
        <w:rPr>
          <w:rFonts w:hint="eastAsia" w:ascii="黑体" w:hAnsi="黑体" w:eastAsia="黑体" w:cs="宋体"/>
          <w:sz w:val="28"/>
          <w:szCs w:val="28"/>
        </w:rPr>
      </w:pPr>
      <w:bookmarkStart w:id="79" w:name="_Toc208325543"/>
      <w:r>
        <w:rPr>
          <w:rFonts w:hint="eastAsia" w:ascii="黑体" w:hAnsi="黑体" w:eastAsia="黑体" w:cs="宋体"/>
          <w:sz w:val="28"/>
          <w:szCs w:val="28"/>
        </w:rPr>
        <w:t>第六章</w:t>
      </w:r>
      <w:r>
        <w:rPr>
          <w:rFonts w:hint="eastAsia" w:ascii="Calibri" w:hAnsi="Calibri" w:eastAsia="黑体" w:cs="Calibri"/>
          <w:sz w:val="28"/>
          <w:szCs w:val="28"/>
        </w:rPr>
        <w:t xml:space="preserve">  </w:t>
      </w:r>
      <w:r>
        <w:rPr>
          <w:rFonts w:hint="eastAsia" w:ascii="黑体" w:hAnsi="黑体" w:eastAsia="黑体" w:cs="宋体"/>
          <w:sz w:val="28"/>
          <w:szCs w:val="28"/>
        </w:rPr>
        <w:t>采购合同（范本）</w:t>
      </w:r>
      <w:bookmarkEnd w:id="79"/>
    </w:p>
    <w:p w14:paraId="740E753C">
      <w:pPr>
        <w:pStyle w:val="11"/>
        <w:spacing w:line="400" w:lineRule="exact"/>
        <w:jc w:val="left"/>
        <w:rPr>
          <w:rFonts w:hint="eastAsia" w:hAnsi="宋体"/>
          <w:szCs w:val="21"/>
        </w:rPr>
      </w:pPr>
    </w:p>
    <w:p w14:paraId="69B47495">
      <w:pPr>
        <w:pStyle w:val="11"/>
        <w:spacing w:line="400" w:lineRule="exact"/>
        <w:jc w:val="center"/>
        <w:rPr>
          <w:rFonts w:hint="eastAsia" w:hAnsi="宋体"/>
          <w:b/>
          <w:sz w:val="28"/>
          <w:szCs w:val="28"/>
        </w:rPr>
      </w:pPr>
      <w:r>
        <w:rPr>
          <w:rFonts w:hint="eastAsia" w:hAnsi="宋体"/>
          <w:b/>
          <w:sz w:val="28"/>
          <w:szCs w:val="28"/>
        </w:rPr>
        <w:t>福建福化古雷石油化工有限公司</w:t>
      </w:r>
    </w:p>
    <w:p w14:paraId="4AE966A6">
      <w:pPr>
        <w:pStyle w:val="11"/>
        <w:spacing w:line="400" w:lineRule="exact"/>
        <w:jc w:val="center"/>
        <w:rPr>
          <w:rFonts w:hint="eastAsia" w:hAnsi="宋体"/>
          <w:b/>
          <w:sz w:val="28"/>
          <w:szCs w:val="28"/>
        </w:rPr>
      </w:pPr>
      <w:r>
        <w:rPr>
          <w:rFonts w:hint="eastAsia" w:hAnsi="宋体"/>
          <w:b/>
          <w:sz w:val="28"/>
          <w:szCs w:val="28"/>
        </w:rPr>
        <w:t>化工企业安全、工艺、设备管理体系评审</w:t>
      </w:r>
    </w:p>
    <w:p w14:paraId="7713C512">
      <w:pPr>
        <w:pStyle w:val="11"/>
        <w:spacing w:line="400" w:lineRule="exact"/>
        <w:jc w:val="center"/>
        <w:rPr>
          <w:rFonts w:hint="eastAsia" w:hAnsi="宋体"/>
          <w:b/>
          <w:sz w:val="28"/>
          <w:szCs w:val="28"/>
        </w:rPr>
      </w:pPr>
      <w:r>
        <w:rPr>
          <w:rFonts w:hint="eastAsia" w:hAnsi="宋体"/>
          <w:b/>
          <w:sz w:val="28"/>
          <w:szCs w:val="28"/>
        </w:rPr>
        <w:t>技术服务合同</w:t>
      </w:r>
    </w:p>
    <w:p w14:paraId="4C7C2A6A">
      <w:pPr>
        <w:pStyle w:val="11"/>
        <w:spacing w:line="400" w:lineRule="exact"/>
        <w:jc w:val="left"/>
        <w:rPr>
          <w:rFonts w:hint="eastAsia" w:hAnsi="宋体"/>
          <w:szCs w:val="21"/>
        </w:rPr>
      </w:pPr>
    </w:p>
    <w:p w14:paraId="52740D7B">
      <w:pPr>
        <w:pStyle w:val="11"/>
        <w:spacing w:line="360" w:lineRule="auto"/>
        <w:jc w:val="center"/>
        <w:rPr>
          <w:rFonts w:hint="eastAsia" w:hAnsi="宋体"/>
          <w:sz w:val="24"/>
          <w:szCs w:val="24"/>
        </w:rPr>
      </w:pPr>
      <w:r>
        <w:rPr>
          <w:rFonts w:hint="eastAsia" w:hAnsi="宋体"/>
          <w:sz w:val="24"/>
          <w:szCs w:val="24"/>
        </w:rPr>
        <w:t xml:space="preserve">                                              合同编号：</w:t>
      </w:r>
    </w:p>
    <w:p w14:paraId="493613E1">
      <w:pPr>
        <w:pStyle w:val="11"/>
        <w:spacing w:line="360" w:lineRule="auto"/>
        <w:jc w:val="center"/>
        <w:rPr>
          <w:rFonts w:hint="eastAsia" w:hAnsi="宋体"/>
          <w:sz w:val="24"/>
          <w:szCs w:val="24"/>
        </w:rPr>
      </w:pPr>
      <w:r>
        <w:rPr>
          <w:rFonts w:hint="eastAsia" w:hAnsi="宋体"/>
          <w:sz w:val="24"/>
          <w:szCs w:val="24"/>
        </w:rPr>
        <w:t xml:space="preserve">                                              签订时间：</w:t>
      </w:r>
    </w:p>
    <w:p w14:paraId="3AA583AB">
      <w:pPr>
        <w:pStyle w:val="11"/>
        <w:spacing w:line="400" w:lineRule="exact"/>
        <w:jc w:val="left"/>
        <w:rPr>
          <w:rFonts w:hint="eastAsia" w:hAnsi="宋体"/>
          <w:szCs w:val="21"/>
        </w:rPr>
      </w:pPr>
    </w:p>
    <w:p w14:paraId="7AB9044B">
      <w:pPr>
        <w:snapToGrid w:val="0"/>
        <w:spacing w:line="440" w:lineRule="exact"/>
        <w:rPr>
          <w:rFonts w:hint="eastAsia" w:ascii="宋体" w:hAnsi="宋体" w:cs="宋体"/>
          <w:bCs/>
          <w:sz w:val="24"/>
        </w:rPr>
      </w:pPr>
      <w:r>
        <w:rPr>
          <w:rFonts w:hint="eastAsia" w:ascii="宋体" w:hAnsi="宋体" w:cs="宋体"/>
          <w:bCs/>
          <w:sz w:val="24"/>
        </w:rPr>
        <w:t>甲方（委托人）：</w:t>
      </w:r>
      <w:r>
        <w:rPr>
          <w:rFonts w:hint="eastAsia" w:ascii="宋体" w:hAnsi="宋体" w:cs="宋体"/>
          <w:b/>
          <w:bCs/>
          <w:sz w:val="24"/>
          <w:u w:val="single"/>
        </w:rPr>
        <w:t xml:space="preserve"> 福建福化古雷石油化工有限公司</w:t>
      </w:r>
      <w:r>
        <w:rPr>
          <w:rFonts w:hint="eastAsia" w:ascii="宋体" w:hAnsi="宋体" w:cs="宋体"/>
          <w:bCs/>
          <w:sz w:val="24"/>
        </w:rPr>
        <w:t>（公章）</w:t>
      </w:r>
    </w:p>
    <w:p w14:paraId="26E6B4E6">
      <w:pPr>
        <w:snapToGrid w:val="0"/>
        <w:spacing w:line="440" w:lineRule="exact"/>
        <w:rPr>
          <w:rFonts w:hint="eastAsia" w:ascii="宋体" w:hAnsi="宋体" w:cs="宋体"/>
          <w:bCs/>
          <w:sz w:val="24"/>
        </w:rPr>
      </w:pPr>
      <w:r>
        <w:rPr>
          <w:rFonts w:hint="eastAsia" w:ascii="宋体" w:hAnsi="宋体" w:cs="宋体"/>
          <w:sz w:val="24"/>
        </w:rPr>
        <w:t>地址：</w:t>
      </w:r>
      <w:r>
        <w:rPr>
          <w:rFonts w:hint="eastAsia" w:cs="宋体"/>
          <w:sz w:val="24"/>
        </w:rPr>
        <w:t>福建省漳州市漳浦县杜浔镇杜昌路9号</w:t>
      </w:r>
    </w:p>
    <w:p w14:paraId="7BB69492">
      <w:pPr>
        <w:snapToGrid w:val="0"/>
        <w:spacing w:line="440" w:lineRule="exact"/>
        <w:rPr>
          <w:rFonts w:hint="eastAsia" w:ascii="宋体" w:hAnsi="宋体" w:cs="宋体"/>
          <w:sz w:val="24"/>
        </w:rPr>
      </w:pPr>
      <w:r>
        <w:rPr>
          <w:rFonts w:hint="eastAsia" w:ascii="宋体" w:hAnsi="宋体" w:cs="宋体"/>
          <w:sz w:val="24"/>
        </w:rPr>
        <w:t>邮政编码：</w:t>
      </w:r>
      <w:r>
        <w:rPr>
          <w:rFonts w:hint="eastAsia"/>
          <w:bCs/>
          <w:szCs w:val="21"/>
        </w:rPr>
        <w:t>362116</w:t>
      </w:r>
      <w:r>
        <w:rPr>
          <w:rFonts w:hint="eastAsia" w:cs="宋体"/>
          <w:sz w:val="24"/>
        </w:rPr>
        <w:t xml:space="preserve"> </w:t>
      </w:r>
      <w:r>
        <w:rPr>
          <w:rFonts w:hint="eastAsia" w:ascii="宋体" w:hAnsi="宋体" w:cs="宋体"/>
          <w:sz w:val="24"/>
        </w:rPr>
        <w:t xml:space="preserve">   </w:t>
      </w:r>
      <w:r>
        <w:rPr>
          <w:rFonts w:hint="eastAsia" w:cs="宋体"/>
          <w:sz w:val="24"/>
        </w:rPr>
        <w:t xml:space="preserve">             </w:t>
      </w:r>
      <w:r>
        <w:rPr>
          <w:rFonts w:hint="eastAsia" w:ascii="宋体" w:hAnsi="宋体" w:cs="宋体"/>
          <w:sz w:val="24"/>
        </w:rPr>
        <w:t xml:space="preserve"> 法定代表人：</w:t>
      </w:r>
      <w:r>
        <w:rPr>
          <w:rFonts w:hint="eastAsia" w:cs="宋体"/>
          <w:sz w:val="24"/>
        </w:rPr>
        <w:t xml:space="preserve"> 王大立      </w:t>
      </w:r>
      <w:r>
        <w:rPr>
          <w:rFonts w:hint="eastAsia" w:ascii="宋体" w:hAnsi="宋体" w:cs="宋体"/>
          <w:sz w:val="24"/>
        </w:rPr>
        <w:t xml:space="preserve">   </w:t>
      </w:r>
    </w:p>
    <w:p w14:paraId="266EAE03">
      <w:pPr>
        <w:snapToGrid w:val="0"/>
        <w:spacing w:line="440" w:lineRule="exact"/>
        <w:rPr>
          <w:rFonts w:hint="eastAsia" w:ascii="宋体" w:hAnsi="宋体" w:cs="宋体"/>
          <w:sz w:val="24"/>
        </w:rPr>
      </w:pPr>
      <w:r>
        <w:rPr>
          <w:rFonts w:hint="eastAsia" w:ascii="宋体" w:hAnsi="宋体" w:cs="宋体"/>
          <w:sz w:val="24"/>
        </w:rPr>
        <w:t xml:space="preserve">联系人：     </w:t>
      </w:r>
      <w:r>
        <w:rPr>
          <w:rFonts w:hint="eastAsia" w:cs="宋体"/>
          <w:sz w:val="24"/>
        </w:rPr>
        <w:t xml:space="preserve">                   </w:t>
      </w:r>
      <w:r>
        <w:rPr>
          <w:rFonts w:hint="eastAsia" w:ascii="宋体" w:hAnsi="宋体" w:cs="宋体"/>
          <w:sz w:val="24"/>
        </w:rPr>
        <w:t xml:space="preserve"> 电话：</w:t>
      </w:r>
      <w:r>
        <w:rPr>
          <w:rFonts w:hint="eastAsia"/>
          <w:bCs/>
          <w:szCs w:val="21"/>
        </w:rPr>
        <w:t>0596-6085765</w:t>
      </w:r>
    </w:p>
    <w:p w14:paraId="7F165E10">
      <w:pPr>
        <w:snapToGrid w:val="0"/>
        <w:spacing w:line="440" w:lineRule="exact"/>
        <w:rPr>
          <w:rFonts w:hint="eastAsia" w:ascii="宋体" w:hAnsi="宋体" w:cs="宋体"/>
          <w:sz w:val="24"/>
        </w:rPr>
      </w:pPr>
      <w:r>
        <w:rPr>
          <w:rFonts w:hint="eastAsia" w:ascii="宋体" w:hAnsi="宋体" w:cs="宋体"/>
          <w:sz w:val="24"/>
        </w:rPr>
        <w:t xml:space="preserve">开户银行： </w:t>
      </w:r>
      <w:r>
        <w:rPr>
          <w:rFonts w:hint="eastAsia"/>
          <w:bCs/>
          <w:szCs w:val="21"/>
        </w:rPr>
        <w:t>兴业银行漳州古雷支行</w:t>
      </w:r>
      <w:r>
        <w:rPr>
          <w:rFonts w:hint="eastAsia" w:ascii="宋体" w:hAnsi="宋体" w:cs="宋体"/>
          <w:sz w:val="24"/>
        </w:rPr>
        <w:t xml:space="preserve">                 </w:t>
      </w:r>
    </w:p>
    <w:p w14:paraId="182375C4">
      <w:pPr>
        <w:snapToGrid w:val="0"/>
        <w:spacing w:line="440" w:lineRule="exact"/>
        <w:rPr>
          <w:rFonts w:hint="eastAsia" w:ascii="宋体" w:hAnsi="宋体" w:cs="宋体"/>
          <w:color w:val="0000FF"/>
          <w:sz w:val="24"/>
        </w:rPr>
      </w:pPr>
      <w:r>
        <w:rPr>
          <w:rFonts w:hint="eastAsia" w:ascii="宋体" w:hAnsi="宋体" w:cs="宋体"/>
          <w:sz w:val="24"/>
        </w:rPr>
        <w:t>账号：</w:t>
      </w:r>
      <w:r>
        <w:rPr>
          <w:rFonts w:hint="eastAsia"/>
          <w:bCs/>
          <w:szCs w:val="21"/>
        </w:rPr>
        <w:t>162070100100015218</w:t>
      </w:r>
    </w:p>
    <w:p w14:paraId="23698DB0">
      <w:pPr>
        <w:snapToGrid w:val="0"/>
        <w:spacing w:line="440" w:lineRule="exact"/>
        <w:rPr>
          <w:rFonts w:hint="eastAsia" w:ascii="宋体" w:hAnsi="宋体" w:cs="宋体"/>
          <w:sz w:val="24"/>
        </w:rPr>
      </w:pPr>
    </w:p>
    <w:p w14:paraId="236D563B">
      <w:pPr>
        <w:pStyle w:val="11"/>
        <w:spacing w:line="400" w:lineRule="exact"/>
        <w:jc w:val="left"/>
        <w:rPr>
          <w:rFonts w:hint="eastAsia" w:hAnsi="宋体"/>
          <w:sz w:val="24"/>
          <w:szCs w:val="24"/>
        </w:rPr>
      </w:pPr>
    </w:p>
    <w:p w14:paraId="3491DF3D">
      <w:pPr>
        <w:snapToGrid w:val="0"/>
        <w:spacing w:line="440" w:lineRule="exact"/>
        <w:rPr>
          <w:rFonts w:hint="eastAsia" w:ascii="宋体" w:hAnsi="宋体" w:cs="宋体"/>
          <w:sz w:val="24"/>
        </w:rPr>
      </w:pPr>
      <w:r>
        <w:rPr>
          <w:rFonts w:hint="eastAsia" w:ascii="宋体" w:hAnsi="宋体" w:cs="宋体"/>
          <w:sz w:val="24"/>
        </w:rPr>
        <w:t>乙方（受托人）：</w:t>
      </w:r>
      <w:r>
        <w:rPr>
          <w:rFonts w:hint="eastAsia" w:ascii="宋体" w:hAnsi="宋体" w:cs="宋体"/>
          <w:b/>
          <w:bCs/>
          <w:sz w:val="24"/>
          <w:u w:val="single"/>
        </w:rPr>
        <w:t xml:space="preserve">                        </w:t>
      </w:r>
      <w:r>
        <w:rPr>
          <w:rFonts w:hint="eastAsia" w:ascii="宋体" w:hAnsi="宋体" w:cs="宋体"/>
          <w:b/>
          <w:bCs/>
          <w:sz w:val="24"/>
        </w:rPr>
        <w:t>（公章）</w:t>
      </w:r>
    </w:p>
    <w:p w14:paraId="5B2DFDC7">
      <w:pPr>
        <w:snapToGrid w:val="0"/>
        <w:spacing w:line="440" w:lineRule="exact"/>
        <w:rPr>
          <w:rFonts w:hint="eastAsia" w:ascii="宋体" w:hAnsi="宋体" w:cs="宋体"/>
          <w:bCs/>
          <w:sz w:val="24"/>
        </w:rPr>
      </w:pPr>
      <w:r>
        <w:rPr>
          <w:rFonts w:hint="eastAsia" w:ascii="宋体" w:hAnsi="宋体" w:cs="宋体"/>
          <w:sz w:val="24"/>
        </w:rPr>
        <w:t>地址：</w:t>
      </w:r>
    </w:p>
    <w:p w14:paraId="0E6D943C">
      <w:pPr>
        <w:snapToGrid w:val="0"/>
        <w:spacing w:line="440" w:lineRule="exact"/>
        <w:rPr>
          <w:rFonts w:hint="eastAsia" w:ascii="宋体" w:hAnsi="宋体" w:cs="宋体"/>
          <w:sz w:val="24"/>
        </w:rPr>
      </w:pPr>
      <w:r>
        <w:rPr>
          <w:rFonts w:hint="eastAsia" w:ascii="宋体" w:hAnsi="宋体" w:cs="宋体"/>
          <w:sz w:val="24"/>
        </w:rPr>
        <w:t>邮政编码：</w:t>
      </w:r>
      <w:r>
        <w:rPr>
          <w:rFonts w:hint="eastAsia" w:cs="宋体"/>
          <w:sz w:val="24"/>
        </w:rPr>
        <w:t xml:space="preserve">                    </w:t>
      </w:r>
      <w:r>
        <w:rPr>
          <w:rFonts w:hint="eastAsia" w:ascii="宋体" w:hAnsi="宋体" w:cs="宋体"/>
          <w:sz w:val="24"/>
        </w:rPr>
        <w:t xml:space="preserve">    法定代表人：</w:t>
      </w:r>
    </w:p>
    <w:p w14:paraId="1CDC8C94">
      <w:pPr>
        <w:snapToGrid w:val="0"/>
        <w:spacing w:line="440" w:lineRule="exact"/>
        <w:rPr>
          <w:rFonts w:hint="eastAsia" w:ascii="宋体" w:hAnsi="宋体" w:cs="宋体"/>
          <w:sz w:val="24"/>
        </w:rPr>
      </w:pPr>
      <w:r>
        <w:rPr>
          <w:rFonts w:hint="eastAsia" w:ascii="宋体" w:hAnsi="宋体" w:cs="宋体"/>
          <w:sz w:val="24"/>
        </w:rPr>
        <w:t xml:space="preserve">联系人：     </w:t>
      </w:r>
      <w:r>
        <w:rPr>
          <w:rFonts w:hint="eastAsia" w:cs="宋体"/>
          <w:sz w:val="24"/>
        </w:rPr>
        <w:t xml:space="preserve">                    </w:t>
      </w:r>
      <w:r>
        <w:rPr>
          <w:rFonts w:hint="eastAsia" w:ascii="宋体" w:hAnsi="宋体" w:cs="宋体"/>
          <w:sz w:val="24"/>
        </w:rPr>
        <w:t xml:space="preserve"> 电话：</w:t>
      </w:r>
    </w:p>
    <w:p w14:paraId="5409C7E1">
      <w:pPr>
        <w:snapToGrid w:val="0"/>
        <w:spacing w:line="440" w:lineRule="exact"/>
        <w:rPr>
          <w:rFonts w:hint="eastAsia" w:ascii="宋体" w:hAnsi="宋体" w:cs="宋体"/>
          <w:sz w:val="24"/>
        </w:rPr>
      </w:pPr>
      <w:r>
        <w:rPr>
          <w:rFonts w:hint="eastAsia" w:ascii="宋体" w:hAnsi="宋体" w:cs="宋体"/>
          <w:sz w:val="24"/>
        </w:rPr>
        <w:t xml:space="preserve">开户银行：                  </w:t>
      </w:r>
    </w:p>
    <w:p w14:paraId="1645F2D5">
      <w:pPr>
        <w:snapToGrid w:val="0"/>
        <w:spacing w:line="440" w:lineRule="exact"/>
        <w:rPr>
          <w:rFonts w:hint="eastAsia" w:ascii="宋体" w:hAnsi="宋体" w:cs="宋体"/>
          <w:color w:val="0000FF"/>
          <w:sz w:val="24"/>
        </w:rPr>
      </w:pPr>
      <w:r>
        <w:rPr>
          <w:rFonts w:hint="eastAsia" w:ascii="宋体" w:hAnsi="宋体" w:cs="宋体"/>
          <w:sz w:val="24"/>
        </w:rPr>
        <w:t>账号：</w:t>
      </w:r>
    </w:p>
    <w:p w14:paraId="1481A508">
      <w:pPr>
        <w:pStyle w:val="11"/>
        <w:spacing w:line="400" w:lineRule="exact"/>
        <w:jc w:val="left"/>
        <w:rPr>
          <w:rFonts w:hint="eastAsia" w:hAnsi="宋体"/>
          <w:sz w:val="24"/>
          <w:szCs w:val="24"/>
        </w:rPr>
      </w:pPr>
    </w:p>
    <w:p w14:paraId="4CA4DA9A">
      <w:pPr>
        <w:pStyle w:val="11"/>
        <w:spacing w:line="400" w:lineRule="exact"/>
        <w:jc w:val="left"/>
        <w:rPr>
          <w:rFonts w:hint="eastAsia" w:hAnsi="宋体"/>
          <w:szCs w:val="21"/>
        </w:rPr>
      </w:pPr>
      <w:r>
        <w:rPr>
          <w:rFonts w:hint="eastAsia" w:hAnsi="宋体"/>
          <w:sz w:val="24"/>
          <w:szCs w:val="24"/>
        </w:rPr>
        <w:t xml:space="preserve"> </w:t>
      </w:r>
      <w:r>
        <w:rPr>
          <w:rFonts w:hint="eastAsia" w:hAnsi="宋体"/>
          <w:szCs w:val="21"/>
        </w:rPr>
        <w:t xml:space="preserve">   </w:t>
      </w:r>
    </w:p>
    <w:p w14:paraId="6B6336B6">
      <w:pPr>
        <w:spacing w:line="120" w:lineRule="auto"/>
        <w:ind w:firstLine="420" w:firstLineChars="200"/>
        <w:rPr>
          <w:sz w:val="24"/>
        </w:rPr>
      </w:pPr>
      <w:r>
        <w:rPr>
          <w:rFonts w:hint="eastAsia" w:hAnsi="宋体"/>
          <w:szCs w:val="21"/>
        </w:rPr>
        <w:t xml:space="preserve">   </w:t>
      </w:r>
      <w:r>
        <w:rPr>
          <w:rFonts w:hint="eastAsia" w:hAnsi="宋体"/>
          <w:sz w:val="24"/>
        </w:rPr>
        <w:t xml:space="preserve"> 本合同由甲方委托乙方就</w:t>
      </w:r>
      <w:r>
        <w:rPr>
          <w:rFonts w:hint="eastAsia" w:hAnsi="宋体"/>
          <w:sz w:val="24"/>
          <w:u w:val="single"/>
        </w:rPr>
        <w:t>福化古雷化工企业安全、工艺、设备管理体系评审技术服务项目</w:t>
      </w:r>
      <w:r>
        <w:rPr>
          <w:rFonts w:hint="eastAsia" w:hAnsi="宋体"/>
          <w:sz w:val="24"/>
        </w:rPr>
        <w:t>进行技术服务及咨询，并支付技术服务及咨询报酬。双方经过平等协商，在真实、充分地表达各自意愿的基础上，根据《中华人民共和国民法典》的规定，达成如下协议，并由双方共同恪守。（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5836CC1E">
      <w:pPr>
        <w:pStyle w:val="11"/>
        <w:spacing w:line="400" w:lineRule="exact"/>
        <w:jc w:val="left"/>
        <w:rPr>
          <w:rFonts w:hint="eastAsia" w:hAnsi="宋体"/>
          <w:sz w:val="24"/>
          <w:szCs w:val="24"/>
        </w:rPr>
      </w:pPr>
    </w:p>
    <w:p w14:paraId="4941793C">
      <w:pPr>
        <w:pStyle w:val="11"/>
        <w:spacing w:line="400" w:lineRule="exact"/>
        <w:jc w:val="left"/>
        <w:rPr>
          <w:rFonts w:hint="eastAsia" w:hAnsi="宋体"/>
          <w:sz w:val="24"/>
          <w:szCs w:val="24"/>
        </w:rPr>
      </w:pPr>
      <w:r>
        <w:rPr>
          <w:rFonts w:hint="eastAsia" w:hAnsi="宋体"/>
          <w:szCs w:val="21"/>
        </w:rPr>
        <w:t xml:space="preserve">   </w:t>
      </w:r>
      <w:r>
        <w:rPr>
          <w:rFonts w:hint="eastAsia" w:hAnsi="宋体"/>
          <w:sz w:val="24"/>
          <w:szCs w:val="24"/>
        </w:rPr>
        <w:t xml:space="preserve"> </w:t>
      </w:r>
      <w:r>
        <w:rPr>
          <w:rFonts w:hint="eastAsia" w:hAnsi="宋体"/>
          <w:b/>
          <w:bCs/>
          <w:sz w:val="24"/>
          <w:szCs w:val="24"/>
        </w:rPr>
        <w:t>第一条</w:t>
      </w:r>
      <w:r>
        <w:rPr>
          <w:rFonts w:hint="eastAsia" w:hAnsi="宋体"/>
          <w:sz w:val="24"/>
          <w:szCs w:val="24"/>
        </w:rPr>
        <w:t xml:space="preserve"> 乙方进行技术咨询的内容、要求、方式：</w:t>
      </w:r>
    </w:p>
    <w:p w14:paraId="6FD4C092">
      <w:pPr>
        <w:pStyle w:val="11"/>
        <w:spacing w:line="400" w:lineRule="exact"/>
        <w:jc w:val="left"/>
        <w:rPr>
          <w:rFonts w:hint="eastAsia" w:hAnsi="宋体"/>
          <w:sz w:val="24"/>
          <w:szCs w:val="24"/>
        </w:rPr>
      </w:pPr>
      <w:r>
        <w:rPr>
          <w:rFonts w:hint="eastAsia" w:hAnsi="宋体"/>
          <w:sz w:val="24"/>
          <w:szCs w:val="24"/>
        </w:rPr>
        <w:t xml:space="preserve">    1.技术服务及咨询内容：</w:t>
      </w:r>
      <w:r>
        <w:rPr>
          <w:rFonts w:hint="eastAsia" w:hAnsi="宋体"/>
          <w:sz w:val="24"/>
          <w:szCs w:val="24"/>
          <w:u w:val="single"/>
        </w:rPr>
        <w:t>组织对福化古雷所管理的其中三家化工企业进行一次安全、工艺、设备体系的符合性评价</w:t>
      </w:r>
    </w:p>
    <w:p w14:paraId="4FEC8FB5">
      <w:pPr>
        <w:pStyle w:val="11"/>
        <w:spacing w:line="400" w:lineRule="exact"/>
        <w:jc w:val="left"/>
        <w:rPr>
          <w:rFonts w:hint="eastAsia" w:hAnsi="宋体"/>
          <w:sz w:val="24"/>
          <w:szCs w:val="24"/>
        </w:rPr>
      </w:pPr>
      <w:r>
        <w:rPr>
          <w:rFonts w:hint="eastAsia" w:hAnsi="宋体"/>
          <w:sz w:val="24"/>
          <w:szCs w:val="24"/>
        </w:rPr>
        <w:t xml:space="preserve">    2.技术服务及咨询要求：</w:t>
      </w:r>
      <w:r>
        <w:rPr>
          <w:rFonts w:hint="eastAsia" w:hAnsi="宋体"/>
          <w:sz w:val="24"/>
          <w:szCs w:val="24"/>
          <w:u w:val="single"/>
        </w:rPr>
        <w:t>提供专家参与项目前期准备、现场检查、评估反馈、报告编制等。</w:t>
      </w:r>
    </w:p>
    <w:p w14:paraId="4151F788">
      <w:pPr>
        <w:pStyle w:val="11"/>
        <w:spacing w:line="400" w:lineRule="exact"/>
        <w:jc w:val="left"/>
        <w:rPr>
          <w:rFonts w:hint="eastAsia" w:hAnsi="宋体"/>
          <w:sz w:val="24"/>
          <w:szCs w:val="24"/>
        </w:rPr>
      </w:pPr>
      <w:r>
        <w:rPr>
          <w:rFonts w:hint="eastAsia" w:hAnsi="宋体"/>
          <w:sz w:val="24"/>
          <w:szCs w:val="24"/>
        </w:rPr>
        <w:t xml:space="preserve">    </w:t>
      </w:r>
      <w:r>
        <w:rPr>
          <w:rFonts w:hint="eastAsia" w:hAnsi="宋体"/>
          <w:b/>
          <w:bCs/>
          <w:sz w:val="24"/>
          <w:szCs w:val="24"/>
        </w:rPr>
        <w:t>第二条</w:t>
      </w:r>
      <w:r>
        <w:rPr>
          <w:rFonts w:hint="eastAsia" w:hAnsi="宋体"/>
          <w:sz w:val="24"/>
          <w:szCs w:val="24"/>
        </w:rPr>
        <w:t xml:space="preserve"> 乙方按照下列要求进行本合同项目的技术咨询工作：</w:t>
      </w:r>
    </w:p>
    <w:p w14:paraId="00920203">
      <w:pPr>
        <w:pStyle w:val="11"/>
        <w:spacing w:line="400" w:lineRule="exact"/>
        <w:jc w:val="left"/>
        <w:rPr>
          <w:rFonts w:hint="eastAsia" w:hAnsi="宋体"/>
          <w:sz w:val="24"/>
          <w:szCs w:val="24"/>
        </w:rPr>
      </w:pPr>
      <w:r>
        <w:rPr>
          <w:rFonts w:hint="eastAsia" w:hAnsi="宋体"/>
          <w:sz w:val="24"/>
          <w:szCs w:val="24"/>
        </w:rPr>
        <w:t xml:space="preserve">    1.技术服务及咨询地点：</w:t>
      </w:r>
      <w:r>
        <w:rPr>
          <w:rFonts w:hint="eastAsia" w:hAnsi="宋体"/>
          <w:sz w:val="24"/>
          <w:szCs w:val="24"/>
          <w:u w:val="single"/>
        </w:rPr>
        <w:t>福建省漳州市古雷港经济开发区</w:t>
      </w:r>
    </w:p>
    <w:p w14:paraId="7C63EC40">
      <w:pPr>
        <w:pStyle w:val="11"/>
        <w:spacing w:line="400" w:lineRule="exact"/>
        <w:jc w:val="left"/>
        <w:rPr>
          <w:rFonts w:hint="eastAsia" w:hAnsi="宋体"/>
          <w:sz w:val="24"/>
          <w:szCs w:val="24"/>
        </w:rPr>
      </w:pPr>
      <w:r>
        <w:rPr>
          <w:rFonts w:hint="eastAsia" w:hAnsi="宋体"/>
          <w:sz w:val="24"/>
          <w:szCs w:val="24"/>
        </w:rPr>
        <w:t xml:space="preserve">    2.技术服务及咨询期限：</w:t>
      </w:r>
      <w:r>
        <w:rPr>
          <w:rFonts w:hint="eastAsia" w:hAnsi="宋体"/>
          <w:sz w:val="24"/>
          <w:szCs w:val="24"/>
          <w:u w:val="single"/>
        </w:rPr>
        <w:t>合同签订后45个日历日。</w:t>
      </w:r>
    </w:p>
    <w:p w14:paraId="206B582D">
      <w:pPr>
        <w:pStyle w:val="11"/>
        <w:spacing w:line="400" w:lineRule="exact"/>
        <w:jc w:val="left"/>
        <w:rPr>
          <w:rFonts w:hint="eastAsia" w:hAnsi="宋体"/>
          <w:sz w:val="24"/>
          <w:szCs w:val="24"/>
        </w:rPr>
      </w:pPr>
      <w:r>
        <w:rPr>
          <w:rFonts w:hint="eastAsia" w:hAnsi="宋体"/>
          <w:sz w:val="24"/>
          <w:szCs w:val="24"/>
        </w:rPr>
        <w:t xml:space="preserve">    3.技术服务及咨询进度：</w:t>
      </w:r>
      <w:r>
        <w:rPr>
          <w:rFonts w:hint="eastAsia" w:hAnsi="宋体"/>
          <w:sz w:val="24"/>
          <w:szCs w:val="24"/>
          <w:u w:val="single"/>
        </w:rPr>
        <w:t>在全部企业检查完成后，乙方需在5个工作日内编制完整报告，并提交甲方审核。乙方提供的所有清单、报告、文件等，甲方有权提出修改意见并要求乙方修改。</w:t>
      </w:r>
    </w:p>
    <w:p w14:paraId="51227E34">
      <w:pPr>
        <w:pStyle w:val="11"/>
        <w:spacing w:line="400" w:lineRule="exact"/>
        <w:jc w:val="left"/>
        <w:rPr>
          <w:rFonts w:hint="eastAsia" w:hAnsi="宋体"/>
          <w:sz w:val="24"/>
          <w:szCs w:val="24"/>
        </w:rPr>
      </w:pPr>
      <w:r>
        <w:rPr>
          <w:rFonts w:hint="eastAsia" w:hAnsi="宋体"/>
          <w:sz w:val="24"/>
          <w:szCs w:val="24"/>
        </w:rPr>
        <w:t xml:space="preserve">    4、技术服务及咨询质量要求：</w:t>
      </w:r>
      <w:r>
        <w:rPr>
          <w:rFonts w:hint="eastAsia" w:hAnsi="宋体"/>
          <w:sz w:val="24"/>
          <w:szCs w:val="24"/>
          <w:u w:val="single"/>
        </w:rPr>
        <w:t>在检查期间，乙方及参与检查的专家需服从甲方及甲方所管理企业的安排，并提供专业全面的反馈、意见与建议，提供详细专业的评估报告。</w:t>
      </w:r>
    </w:p>
    <w:p w14:paraId="33507226">
      <w:pPr>
        <w:pStyle w:val="11"/>
        <w:spacing w:line="400" w:lineRule="exact"/>
        <w:ind w:firstLine="480" w:firstLineChars="200"/>
        <w:jc w:val="left"/>
        <w:rPr>
          <w:rFonts w:hint="eastAsia" w:hAnsi="宋体"/>
          <w:sz w:val="24"/>
          <w:szCs w:val="24"/>
        </w:rPr>
      </w:pPr>
      <w:r>
        <w:rPr>
          <w:rFonts w:hint="eastAsia" w:hAnsi="宋体"/>
          <w:sz w:val="24"/>
          <w:szCs w:val="24"/>
        </w:rPr>
        <w:t>5、技术服务及咨询质量期限要求：</w:t>
      </w:r>
      <w:r>
        <w:rPr>
          <w:rFonts w:hint="eastAsia" w:hAnsi="宋体"/>
          <w:sz w:val="24"/>
          <w:szCs w:val="24"/>
          <w:u w:val="single"/>
        </w:rPr>
        <w:t>直至服务结束，且乙方提供的报告文件经甲方审核通过。</w:t>
      </w:r>
    </w:p>
    <w:p w14:paraId="3037ECCE">
      <w:pPr>
        <w:pStyle w:val="11"/>
        <w:spacing w:line="400" w:lineRule="exact"/>
        <w:ind w:firstLine="482" w:firstLineChars="200"/>
        <w:jc w:val="left"/>
        <w:rPr>
          <w:rFonts w:hint="eastAsia" w:hAnsi="宋体"/>
          <w:sz w:val="24"/>
          <w:szCs w:val="24"/>
        </w:rPr>
      </w:pPr>
      <w:r>
        <w:rPr>
          <w:rFonts w:hint="eastAsia" w:hAnsi="宋体"/>
          <w:b/>
          <w:bCs/>
          <w:sz w:val="24"/>
          <w:szCs w:val="24"/>
        </w:rPr>
        <w:t>第三条</w:t>
      </w:r>
      <w:r>
        <w:rPr>
          <w:rFonts w:hint="eastAsia" w:hAnsi="宋体"/>
          <w:sz w:val="24"/>
          <w:szCs w:val="24"/>
        </w:rPr>
        <w:t xml:space="preserve"> 为保证乙方有效进行技术咨询工作，甲方应当向乙方提供下列协作事项：</w:t>
      </w:r>
    </w:p>
    <w:p w14:paraId="6C845BDF">
      <w:pPr>
        <w:pStyle w:val="11"/>
        <w:spacing w:line="400" w:lineRule="exact"/>
        <w:ind w:firstLine="480" w:firstLineChars="200"/>
        <w:jc w:val="left"/>
        <w:rPr>
          <w:rFonts w:hint="eastAsia" w:hAnsi="宋体"/>
          <w:sz w:val="24"/>
          <w:szCs w:val="24"/>
        </w:rPr>
      </w:pPr>
      <w:r>
        <w:rPr>
          <w:rFonts w:hint="eastAsia" w:hAnsi="宋体"/>
          <w:sz w:val="24"/>
          <w:szCs w:val="24"/>
        </w:rPr>
        <w:t>提供技术资料：</w:t>
      </w:r>
      <w:r>
        <w:rPr>
          <w:rFonts w:hint="eastAsia" w:hAnsi="宋体"/>
          <w:sz w:val="24"/>
          <w:szCs w:val="24"/>
          <w:u w:val="single"/>
        </w:rPr>
        <w:t>在服务期间，甲方根据乙方需求，提供乙方工作所需的技术材料。</w:t>
      </w:r>
    </w:p>
    <w:p w14:paraId="2CC56D54">
      <w:pPr>
        <w:pStyle w:val="11"/>
        <w:spacing w:line="400" w:lineRule="exact"/>
        <w:ind w:firstLine="480" w:firstLineChars="200"/>
        <w:jc w:val="left"/>
        <w:rPr>
          <w:rFonts w:hint="eastAsia" w:hAnsi="宋体"/>
          <w:sz w:val="24"/>
          <w:szCs w:val="24"/>
        </w:rPr>
      </w:pPr>
      <w:r>
        <w:rPr>
          <w:rFonts w:hint="eastAsia" w:hAnsi="宋体"/>
          <w:sz w:val="24"/>
          <w:szCs w:val="24"/>
        </w:rPr>
        <w:t>提供工作条件：</w:t>
      </w:r>
      <w:r>
        <w:rPr>
          <w:rFonts w:hint="eastAsia" w:ascii="Times New Roman" w:hAnsi="Times New Roman"/>
          <w:sz w:val="24"/>
          <w:szCs w:val="24"/>
          <w:u w:val="single"/>
        </w:rPr>
        <w:t>在服务期间，经双方协商，提供必须的工作条件</w:t>
      </w:r>
      <w:r>
        <w:rPr>
          <w:rFonts w:hint="eastAsia" w:hAnsi="宋体"/>
          <w:sz w:val="24"/>
          <w:szCs w:val="24"/>
          <w:u w:val="single"/>
        </w:rPr>
        <w:t>。</w:t>
      </w:r>
    </w:p>
    <w:p w14:paraId="2CFFF7F9">
      <w:pPr>
        <w:pStyle w:val="11"/>
        <w:spacing w:line="400" w:lineRule="exact"/>
        <w:ind w:firstLine="480" w:firstLineChars="200"/>
        <w:jc w:val="left"/>
        <w:rPr>
          <w:rFonts w:hint="eastAsia" w:hAnsi="宋体"/>
          <w:sz w:val="24"/>
          <w:szCs w:val="24"/>
        </w:rPr>
      </w:pPr>
      <w:r>
        <w:rPr>
          <w:rFonts w:hint="eastAsia" w:hAnsi="宋体"/>
          <w:sz w:val="24"/>
          <w:szCs w:val="24"/>
        </w:rPr>
        <w:t>其他：</w:t>
      </w:r>
      <w:r>
        <w:rPr>
          <w:rFonts w:hint="eastAsia" w:hAnsi="宋体"/>
          <w:sz w:val="24"/>
          <w:szCs w:val="24"/>
          <w:u w:val="single"/>
        </w:rPr>
        <w:t>无。</w:t>
      </w:r>
    </w:p>
    <w:p w14:paraId="72D8D7BB">
      <w:pPr>
        <w:pStyle w:val="11"/>
        <w:spacing w:line="400" w:lineRule="exact"/>
        <w:ind w:firstLine="480" w:firstLineChars="200"/>
        <w:jc w:val="left"/>
        <w:rPr>
          <w:rFonts w:hint="eastAsia" w:hAnsi="宋体"/>
          <w:sz w:val="24"/>
          <w:szCs w:val="24"/>
          <w:u w:val="single"/>
        </w:rPr>
      </w:pPr>
      <w:r>
        <w:rPr>
          <w:rFonts w:hint="eastAsia" w:hAnsi="宋体"/>
          <w:sz w:val="24"/>
          <w:szCs w:val="24"/>
        </w:rPr>
        <w:t>甲方提供上述协作事项的时间及方式：</w:t>
      </w:r>
      <w:r>
        <w:rPr>
          <w:rFonts w:hint="eastAsia" w:hAnsi="宋体"/>
          <w:sz w:val="24"/>
          <w:szCs w:val="24"/>
          <w:u w:val="single"/>
        </w:rPr>
        <w:t>服务期间，以便于甲方的方式提供。</w:t>
      </w:r>
    </w:p>
    <w:p w14:paraId="03D91DB1">
      <w:pPr>
        <w:pStyle w:val="11"/>
        <w:spacing w:line="400" w:lineRule="exact"/>
        <w:ind w:firstLine="480" w:firstLineChars="200"/>
        <w:jc w:val="left"/>
        <w:rPr>
          <w:rFonts w:hint="eastAsia" w:hAnsi="宋体"/>
          <w:b/>
          <w:sz w:val="24"/>
          <w:szCs w:val="24"/>
          <w:u w:val="single"/>
        </w:rPr>
      </w:pPr>
      <w:r>
        <w:rPr>
          <w:rFonts w:hint="eastAsia"/>
          <w:sz w:val="24"/>
          <w:szCs w:val="24"/>
        </w:rPr>
        <w:t>若甲方提供文件资料、材料及工作条件等协作事项的，乙方应以其专业判断，检验、审查并了解甲方提供的资料、材料、工作条件等协作事项，并在发现甲方少交、迟交、或有任何错误、遗漏、不符合要求等后立即向甲方报告。</w:t>
      </w:r>
      <w:r>
        <w:rPr>
          <w:rFonts w:hint="eastAsia"/>
          <w:b/>
          <w:sz w:val="24"/>
          <w:szCs w:val="24"/>
        </w:rPr>
        <w:t>若发现上述资料、材料、工作条件等不符合约定的，应当在收到材料或协作事项落实后</w:t>
      </w:r>
      <w:r>
        <w:rPr>
          <w:b/>
          <w:sz w:val="24"/>
          <w:szCs w:val="24"/>
        </w:rPr>
        <w:t>7</w:t>
      </w:r>
      <w:r>
        <w:rPr>
          <w:rFonts w:hint="eastAsia"/>
          <w:b/>
          <w:sz w:val="24"/>
          <w:szCs w:val="24"/>
        </w:rPr>
        <w:t>天内书面通知甲方。若逾期未提出异议的，视作甲方的资料、材料、工作条件等协作事项符合合同约定。</w:t>
      </w:r>
    </w:p>
    <w:p w14:paraId="3B54D369">
      <w:pPr>
        <w:pStyle w:val="11"/>
        <w:spacing w:line="400" w:lineRule="exact"/>
        <w:ind w:firstLine="482" w:firstLineChars="200"/>
        <w:jc w:val="left"/>
        <w:rPr>
          <w:rFonts w:hint="eastAsia" w:hAnsi="宋体"/>
          <w:sz w:val="24"/>
          <w:szCs w:val="24"/>
        </w:rPr>
      </w:pPr>
      <w:r>
        <w:rPr>
          <w:rFonts w:hint="eastAsia" w:hAnsi="宋体"/>
          <w:b/>
          <w:bCs/>
          <w:sz w:val="24"/>
          <w:szCs w:val="24"/>
        </w:rPr>
        <w:t>第四条</w:t>
      </w:r>
      <w:r>
        <w:rPr>
          <w:rFonts w:hint="eastAsia" w:hAnsi="宋体"/>
          <w:sz w:val="24"/>
          <w:szCs w:val="24"/>
        </w:rPr>
        <w:t xml:space="preserve"> 甲方向乙方支付技术服务及咨询报酬及支付方式为：</w:t>
      </w:r>
    </w:p>
    <w:p w14:paraId="403F4141">
      <w:pPr>
        <w:pStyle w:val="11"/>
        <w:spacing w:line="400" w:lineRule="exact"/>
        <w:ind w:firstLine="480" w:firstLineChars="200"/>
        <w:jc w:val="left"/>
        <w:rPr>
          <w:rFonts w:hint="eastAsia" w:hAnsi="宋体"/>
          <w:sz w:val="24"/>
          <w:szCs w:val="24"/>
        </w:rPr>
      </w:pPr>
      <w:r>
        <w:rPr>
          <w:rFonts w:hint="eastAsia" w:hAnsi="宋体"/>
          <w:sz w:val="24"/>
          <w:szCs w:val="24"/>
        </w:rPr>
        <w:t>1. 技术服务及咨询报酬总价款为：￥            （大写：                  ，含     %税）。不含税金额￥              ，税金￥               。</w:t>
      </w:r>
    </w:p>
    <w:p w14:paraId="55B739D9">
      <w:pPr>
        <w:pStyle w:val="11"/>
        <w:spacing w:line="400" w:lineRule="exact"/>
        <w:jc w:val="left"/>
        <w:rPr>
          <w:rFonts w:hint="eastAsia" w:hAnsi="宋体"/>
          <w:sz w:val="24"/>
          <w:szCs w:val="24"/>
        </w:rPr>
      </w:pPr>
      <w:r>
        <w:rPr>
          <w:rFonts w:hint="eastAsia" w:hAnsi="宋体"/>
          <w:sz w:val="24"/>
          <w:szCs w:val="24"/>
        </w:rPr>
        <w:t xml:space="preserve">     具体支付方式和时间分配如下：</w:t>
      </w:r>
    </w:p>
    <w:p w14:paraId="71330E80">
      <w:pPr>
        <w:pStyle w:val="11"/>
        <w:spacing w:line="400" w:lineRule="exact"/>
        <w:jc w:val="left"/>
        <w:rPr>
          <w:rFonts w:hint="eastAsia" w:hAnsi="宋体"/>
          <w:sz w:val="24"/>
          <w:szCs w:val="24"/>
        </w:rPr>
      </w:pPr>
      <w:r>
        <w:rPr>
          <w:rFonts w:hint="eastAsia" w:hAnsi="宋体"/>
          <w:sz w:val="24"/>
          <w:szCs w:val="24"/>
        </w:rPr>
        <w:t xml:space="preserve">   （1）乙方按照合同约定提供完整的服务，并出具经甲方认可的正式</w:t>
      </w:r>
      <w:r>
        <w:rPr>
          <w:rFonts w:hint="eastAsia" w:hAnsi="宋体"/>
          <w:sz w:val="24"/>
          <w:szCs w:val="24"/>
          <w:u w:val="single"/>
        </w:rPr>
        <w:t>书面</w:t>
      </w:r>
      <w:r>
        <w:rPr>
          <w:rFonts w:hint="eastAsia" w:hAnsi="宋体"/>
          <w:sz w:val="24"/>
          <w:szCs w:val="24"/>
        </w:rPr>
        <w:t>报告后</w:t>
      </w:r>
      <w:r>
        <w:rPr>
          <w:rFonts w:hint="eastAsia" w:hAnsi="宋体"/>
          <w:sz w:val="24"/>
          <w:szCs w:val="24"/>
          <w:u w:val="single"/>
        </w:rPr>
        <w:t xml:space="preserve"> 30 </w:t>
      </w:r>
      <w:r>
        <w:rPr>
          <w:rFonts w:hint="eastAsia" w:hAnsi="宋体"/>
          <w:sz w:val="24"/>
          <w:szCs w:val="24"/>
        </w:rPr>
        <w:t>个工作日内，甲方支付总价款的</w:t>
      </w:r>
      <w:r>
        <w:rPr>
          <w:rFonts w:hint="eastAsia" w:hAnsi="宋体"/>
          <w:sz w:val="24"/>
          <w:szCs w:val="24"/>
          <w:u w:val="single"/>
        </w:rPr>
        <w:t xml:space="preserve"> 100 </w:t>
      </w:r>
      <w:r>
        <w:rPr>
          <w:rFonts w:hint="eastAsia" w:hAnsi="宋体"/>
          <w:sz w:val="24"/>
          <w:szCs w:val="24"/>
        </w:rPr>
        <w:t>%，即人民币</w:t>
      </w:r>
      <w:r>
        <w:rPr>
          <w:rFonts w:hint="eastAsia" w:hAnsi="宋体"/>
          <w:sz w:val="24"/>
          <w:szCs w:val="24"/>
          <w:u w:val="single"/>
        </w:rPr>
        <w:t xml:space="preserve">  </w:t>
      </w:r>
      <w:r>
        <w:rPr>
          <w:rFonts w:hint="eastAsia" w:hAnsi="宋体"/>
          <w:sz w:val="24"/>
          <w:szCs w:val="24"/>
          <w:u w:val="single"/>
          <w:lang w:val="en-US" w:eastAsia="zh-CN"/>
        </w:rPr>
        <w:t xml:space="preserve">                </w:t>
      </w:r>
      <w:r>
        <w:rPr>
          <w:rFonts w:hint="eastAsia" w:hAnsi="宋体"/>
          <w:sz w:val="24"/>
          <w:szCs w:val="24"/>
          <w:u w:val="single"/>
        </w:rPr>
        <w:t xml:space="preserve">  </w:t>
      </w:r>
      <w:r>
        <w:rPr>
          <w:rFonts w:hint="eastAsia" w:hAnsi="宋体"/>
          <w:sz w:val="24"/>
          <w:szCs w:val="24"/>
        </w:rPr>
        <w:t>整（￥</w:t>
      </w:r>
      <w:r>
        <w:rPr>
          <w:rFonts w:hint="eastAsia" w:hAnsi="宋体"/>
          <w:sz w:val="24"/>
          <w:szCs w:val="24"/>
          <w:u w:val="single"/>
        </w:rPr>
        <w:t xml:space="preserve">    </w:t>
      </w:r>
      <w:r>
        <w:rPr>
          <w:rFonts w:hint="eastAsia" w:hAnsi="宋体"/>
          <w:sz w:val="24"/>
          <w:szCs w:val="24"/>
        </w:rPr>
        <w:t>元）。</w:t>
      </w:r>
    </w:p>
    <w:p w14:paraId="4EC02814">
      <w:pPr>
        <w:pStyle w:val="11"/>
        <w:spacing w:line="400" w:lineRule="exact"/>
        <w:ind w:firstLine="360" w:firstLineChars="150"/>
        <w:jc w:val="left"/>
        <w:rPr>
          <w:rFonts w:hint="eastAsia" w:hAnsi="宋体"/>
          <w:sz w:val="24"/>
          <w:szCs w:val="24"/>
        </w:rPr>
      </w:pPr>
      <w:r>
        <w:rPr>
          <w:rFonts w:hint="eastAsia" w:hAnsi="宋体"/>
          <w:sz w:val="24"/>
          <w:szCs w:val="24"/>
        </w:rPr>
        <w:t>（2）乙方应根据合同约定进度，在甲方付款期限届满</w:t>
      </w:r>
      <w:r>
        <w:rPr>
          <w:rFonts w:hint="eastAsia" w:hAnsi="宋体"/>
          <w:sz w:val="24"/>
          <w:szCs w:val="24"/>
          <w:u w:val="single"/>
        </w:rPr>
        <w:t xml:space="preserve"> 30 </w:t>
      </w:r>
      <w:r>
        <w:rPr>
          <w:rFonts w:hint="eastAsia" w:hAnsi="宋体"/>
          <w:sz w:val="24"/>
          <w:szCs w:val="24"/>
        </w:rPr>
        <w:t>日前提供合法、有效的增值税专用发票，否则甲方有权顺延付款。上述技术服务及咨询报酬直接支付至乙方指定的下列账号：</w:t>
      </w:r>
    </w:p>
    <w:p w14:paraId="3CCE708A">
      <w:pPr>
        <w:pStyle w:val="11"/>
        <w:spacing w:line="400" w:lineRule="exact"/>
        <w:ind w:firstLine="480" w:firstLineChars="200"/>
        <w:jc w:val="left"/>
        <w:rPr>
          <w:rFonts w:hint="eastAsia" w:hAnsi="宋体"/>
          <w:sz w:val="24"/>
          <w:szCs w:val="24"/>
        </w:rPr>
      </w:pPr>
      <w:r>
        <w:rPr>
          <w:rFonts w:hint="eastAsia" w:hAnsi="宋体"/>
          <w:sz w:val="24"/>
          <w:szCs w:val="24"/>
        </w:rPr>
        <w:t>单位名称：</w:t>
      </w:r>
    </w:p>
    <w:p w14:paraId="56C03FD7">
      <w:pPr>
        <w:pStyle w:val="11"/>
        <w:spacing w:line="400" w:lineRule="exact"/>
        <w:ind w:firstLine="480" w:firstLineChars="200"/>
        <w:jc w:val="left"/>
        <w:rPr>
          <w:rFonts w:hint="eastAsia" w:hAnsi="宋体"/>
          <w:sz w:val="24"/>
          <w:szCs w:val="24"/>
        </w:rPr>
      </w:pPr>
      <w:r>
        <w:rPr>
          <w:rFonts w:hint="eastAsia" w:hAnsi="宋体"/>
          <w:sz w:val="24"/>
          <w:szCs w:val="24"/>
        </w:rPr>
        <w:t>纳税人识别号：</w:t>
      </w:r>
    </w:p>
    <w:p w14:paraId="285DEF8D">
      <w:pPr>
        <w:pStyle w:val="11"/>
        <w:spacing w:line="400" w:lineRule="exact"/>
        <w:ind w:firstLine="480" w:firstLineChars="200"/>
        <w:jc w:val="left"/>
        <w:rPr>
          <w:rFonts w:hint="eastAsia" w:hAnsi="宋体"/>
          <w:sz w:val="24"/>
          <w:szCs w:val="24"/>
        </w:rPr>
      </w:pPr>
      <w:r>
        <w:rPr>
          <w:rFonts w:hint="eastAsia" w:hAnsi="宋体"/>
          <w:sz w:val="24"/>
          <w:szCs w:val="24"/>
        </w:rPr>
        <w:t>开户行：</w:t>
      </w:r>
    </w:p>
    <w:p w14:paraId="36BBC2E6">
      <w:pPr>
        <w:pStyle w:val="11"/>
        <w:spacing w:line="400" w:lineRule="exact"/>
        <w:ind w:firstLine="480" w:firstLineChars="200"/>
        <w:jc w:val="left"/>
        <w:rPr>
          <w:rFonts w:hint="eastAsia" w:hAnsi="宋体"/>
          <w:sz w:val="24"/>
          <w:szCs w:val="24"/>
        </w:rPr>
      </w:pPr>
      <w:r>
        <w:rPr>
          <w:rFonts w:hint="eastAsia" w:hAnsi="宋体"/>
          <w:sz w:val="24"/>
          <w:szCs w:val="24"/>
        </w:rPr>
        <w:t>银行账号：</w:t>
      </w:r>
    </w:p>
    <w:p w14:paraId="5C30C0C1">
      <w:pPr>
        <w:pStyle w:val="11"/>
        <w:spacing w:line="400" w:lineRule="exact"/>
        <w:ind w:firstLine="480" w:firstLineChars="200"/>
        <w:jc w:val="left"/>
        <w:rPr>
          <w:rFonts w:hint="eastAsia" w:hAnsi="宋体"/>
          <w:sz w:val="24"/>
          <w:szCs w:val="24"/>
        </w:rPr>
      </w:pPr>
      <w:r>
        <w:rPr>
          <w:rFonts w:hint="eastAsia" w:hAnsi="宋体"/>
          <w:sz w:val="24"/>
          <w:szCs w:val="24"/>
        </w:rPr>
        <w:t>地址：</w:t>
      </w:r>
    </w:p>
    <w:p w14:paraId="555F85BA">
      <w:pPr>
        <w:pStyle w:val="11"/>
        <w:spacing w:line="400" w:lineRule="exact"/>
        <w:ind w:firstLine="480" w:firstLineChars="200"/>
        <w:jc w:val="left"/>
        <w:rPr>
          <w:rFonts w:hint="eastAsia" w:hAnsi="宋体"/>
          <w:sz w:val="24"/>
          <w:szCs w:val="24"/>
        </w:rPr>
      </w:pPr>
      <w:r>
        <w:rPr>
          <w:rFonts w:hint="eastAsia" w:hAnsi="宋体"/>
          <w:sz w:val="24"/>
          <w:szCs w:val="24"/>
        </w:rPr>
        <w:t>电话：</w:t>
      </w:r>
    </w:p>
    <w:p w14:paraId="4C9A13B3">
      <w:pPr>
        <w:pStyle w:val="11"/>
        <w:spacing w:line="400" w:lineRule="exact"/>
        <w:ind w:firstLine="482" w:firstLineChars="200"/>
        <w:jc w:val="left"/>
        <w:rPr>
          <w:rFonts w:hint="eastAsia" w:hAnsi="宋体"/>
          <w:sz w:val="24"/>
          <w:szCs w:val="24"/>
        </w:rPr>
      </w:pPr>
      <w:r>
        <w:rPr>
          <w:rFonts w:hint="eastAsia" w:hAnsi="宋体"/>
          <w:b/>
          <w:bCs/>
          <w:sz w:val="24"/>
          <w:szCs w:val="24"/>
        </w:rPr>
        <w:t>第五条</w:t>
      </w:r>
      <w:r>
        <w:rPr>
          <w:rFonts w:hint="eastAsia" w:hAnsi="宋体"/>
          <w:sz w:val="24"/>
          <w:szCs w:val="24"/>
        </w:rPr>
        <w:t xml:space="preserve"> 双方确定因履行本合同应遵守的保密义务如下：</w:t>
      </w:r>
    </w:p>
    <w:p w14:paraId="4DF29FC8">
      <w:pPr>
        <w:pStyle w:val="11"/>
        <w:spacing w:line="400" w:lineRule="exact"/>
        <w:ind w:firstLine="480" w:firstLineChars="200"/>
        <w:jc w:val="left"/>
        <w:rPr>
          <w:rFonts w:hint="eastAsia" w:hAnsi="宋体"/>
          <w:sz w:val="24"/>
          <w:szCs w:val="24"/>
        </w:rPr>
      </w:pPr>
      <w:r>
        <w:rPr>
          <w:rFonts w:hint="eastAsia" w:hAnsi="宋体"/>
          <w:sz w:val="24"/>
          <w:szCs w:val="24"/>
        </w:rPr>
        <w:t>甲方：</w:t>
      </w:r>
    </w:p>
    <w:p w14:paraId="6FE888C1">
      <w:pPr>
        <w:pStyle w:val="11"/>
        <w:spacing w:line="400" w:lineRule="exact"/>
        <w:ind w:firstLine="480" w:firstLineChars="200"/>
        <w:jc w:val="left"/>
        <w:rPr>
          <w:rFonts w:hint="eastAsia" w:hAnsi="宋体"/>
          <w:sz w:val="24"/>
          <w:szCs w:val="24"/>
        </w:rPr>
      </w:pPr>
      <w:r>
        <w:rPr>
          <w:rFonts w:hint="eastAsia" w:hAnsi="宋体"/>
          <w:sz w:val="24"/>
          <w:szCs w:val="24"/>
        </w:rPr>
        <w:t>1.保密内容：乙方提供的资料，服务咨询报告及该服务咨询报告的附件资料除外。</w:t>
      </w:r>
    </w:p>
    <w:p w14:paraId="46D350CB">
      <w:pPr>
        <w:pStyle w:val="11"/>
        <w:spacing w:line="400" w:lineRule="exact"/>
        <w:ind w:firstLine="480" w:firstLineChars="200"/>
        <w:jc w:val="left"/>
        <w:rPr>
          <w:rFonts w:hint="eastAsia" w:hAnsi="宋体"/>
          <w:sz w:val="24"/>
          <w:szCs w:val="24"/>
        </w:rPr>
      </w:pPr>
      <w:r>
        <w:rPr>
          <w:rFonts w:hint="eastAsia" w:hAnsi="宋体"/>
          <w:sz w:val="24"/>
          <w:szCs w:val="24"/>
        </w:rPr>
        <w:t xml:space="preserve">2.涉密人员范围：甲方及甲方工作人员 </w:t>
      </w:r>
    </w:p>
    <w:p w14:paraId="33CF5F2D">
      <w:pPr>
        <w:pStyle w:val="11"/>
        <w:spacing w:line="400" w:lineRule="exact"/>
        <w:ind w:firstLine="480" w:firstLineChars="200"/>
        <w:jc w:val="left"/>
        <w:rPr>
          <w:rFonts w:hint="eastAsia" w:hAnsi="宋体"/>
          <w:sz w:val="24"/>
          <w:szCs w:val="24"/>
        </w:rPr>
      </w:pPr>
      <w:r>
        <w:rPr>
          <w:rFonts w:hint="eastAsia" w:hAnsi="宋体"/>
          <w:sz w:val="24"/>
          <w:szCs w:val="24"/>
        </w:rPr>
        <w:t xml:space="preserve">3.泄密责任：  按本合同约定及国家有关保密法的规定执行 </w:t>
      </w:r>
    </w:p>
    <w:p w14:paraId="35831C9C">
      <w:pPr>
        <w:pStyle w:val="11"/>
        <w:spacing w:line="400" w:lineRule="exact"/>
        <w:ind w:firstLine="480" w:firstLineChars="200"/>
        <w:jc w:val="left"/>
        <w:rPr>
          <w:rFonts w:hint="eastAsia" w:hAnsi="宋体"/>
          <w:sz w:val="24"/>
          <w:szCs w:val="24"/>
        </w:rPr>
      </w:pPr>
      <w:r>
        <w:rPr>
          <w:rFonts w:hint="eastAsia" w:hAnsi="宋体"/>
          <w:sz w:val="24"/>
          <w:szCs w:val="24"/>
        </w:rPr>
        <w:t>乙方：</w:t>
      </w:r>
    </w:p>
    <w:p w14:paraId="01ED6FA8">
      <w:pPr>
        <w:pStyle w:val="11"/>
        <w:spacing w:line="400" w:lineRule="exact"/>
        <w:ind w:firstLine="480" w:firstLineChars="200"/>
        <w:jc w:val="left"/>
        <w:rPr>
          <w:rFonts w:hint="eastAsia" w:hAnsi="宋体"/>
          <w:sz w:val="24"/>
          <w:szCs w:val="24"/>
        </w:rPr>
      </w:pPr>
      <w:r>
        <w:rPr>
          <w:rFonts w:hint="eastAsia" w:hAnsi="宋体"/>
          <w:sz w:val="24"/>
          <w:szCs w:val="24"/>
        </w:rPr>
        <w:t>1.保密内容：甲方提供的资料以及乙方在提供本合同约定服务过程中知悉的甲方技术信息、经营信息、生产工艺、操作流程等。</w:t>
      </w:r>
    </w:p>
    <w:p w14:paraId="0CE1317D">
      <w:pPr>
        <w:pStyle w:val="11"/>
        <w:spacing w:line="400" w:lineRule="exact"/>
        <w:ind w:firstLine="480" w:firstLineChars="200"/>
        <w:jc w:val="left"/>
        <w:rPr>
          <w:rFonts w:hint="eastAsia" w:hAnsi="宋体"/>
          <w:sz w:val="24"/>
          <w:szCs w:val="24"/>
        </w:rPr>
      </w:pPr>
      <w:r>
        <w:rPr>
          <w:rFonts w:hint="eastAsia" w:hAnsi="宋体"/>
          <w:sz w:val="24"/>
          <w:szCs w:val="24"/>
        </w:rPr>
        <w:t xml:space="preserve">2.涉密人员范围：乙方及乙方工作人员 </w:t>
      </w:r>
    </w:p>
    <w:p w14:paraId="36343765">
      <w:pPr>
        <w:pStyle w:val="11"/>
        <w:spacing w:line="400" w:lineRule="exact"/>
        <w:ind w:firstLine="480" w:firstLineChars="200"/>
        <w:jc w:val="left"/>
        <w:rPr>
          <w:rFonts w:hint="eastAsia" w:hAnsi="宋体"/>
          <w:sz w:val="24"/>
          <w:szCs w:val="24"/>
        </w:rPr>
      </w:pPr>
      <w:r>
        <w:rPr>
          <w:rFonts w:hint="eastAsia" w:hAnsi="宋体"/>
          <w:sz w:val="24"/>
          <w:szCs w:val="24"/>
        </w:rPr>
        <w:t xml:space="preserve">3.泄密责任：按本合同约定及国家有关保密法的规定执行 </w:t>
      </w:r>
    </w:p>
    <w:p w14:paraId="0C3DE3E5">
      <w:pPr>
        <w:pStyle w:val="11"/>
        <w:spacing w:line="400" w:lineRule="exact"/>
        <w:ind w:firstLine="482" w:firstLineChars="200"/>
        <w:jc w:val="left"/>
        <w:rPr>
          <w:rFonts w:hint="eastAsia" w:hAnsi="宋体"/>
          <w:sz w:val="24"/>
          <w:szCs w:val="24"/>
        </w:rPr>
      </w:pPr>
      <w:r>
        <w:rPr>
          <w:rFonts w:hint="eastAsia" w:hAnsi="宋体"/>
          <w:b/>
          <w:bCs/>
          <w:sz w:val="24"/>
          <w:szCs w:val="24"/>
        </w:rPr>
        <w:t>第六条</w:t>
      </w:r>
      <w:r>
        <w:rPr>
          <w:rFonts w:hint="eastAsia" w:hAnsi="宋体"/>
          <w:sz w:val="24"/>
          <w:szCs w:val="24"/>
        </w:rPr>
        <w:t xml:space="preserve"> 本合同的变更必须由双方协商一致，并以书面形式确定。</w:t>
      </w:r>
    </w:p>
    <w:p w14:paraId="3D5C73F3">
      <w:pPr>
        <w:pStyle w:val="11"/>
        <w:spacing w:line="400" w:lineRule="exact"/>
        <w:ind w:firstLine="482" w:firstLineChars="200"/>
        <w:jc w:val="left"/>
        <w:rPr>
          <w:rFonts w:hint="eastAsia" w:hAnsi="宋体"/>
          <w:sz w:val="24"/>
          <w:szCs w:val="24"/>
        </w:rPr>
      </w:pPr>
      <w:r>
        <w:rPr>
          <w:rFonts w:hint="eastAsia" w:hAnsi="宋体"/>
          <w:b/>
          <w:bCs/>
          <w:sz w:val="24"/>
          <w:szCs w:val="24"/>
        </w:rPr>
        <w:t>第七条</w:t>
      </w:r>
      <w:r>
        <w:rPr>
          <w:rFonts w:hint="eastAsia" w:hAnsi="宋体"/>
          <w:sz w:val="24"/>
          <w:szCs w:val="24"/>
        </w:rPr>
        <w:t xml:space="preserve"> 双方确定，按以下标准和方式对乙方提交的技术咨询工作成果进行验收：</w:t>
      </w:r>
    </w:p>
    <w:p w14:paraId="1ED90E1E">
      <w:pPr>
        <w:pStyle w:val="11"/>
        <w:spacing w:line="400" w:lineRule="exact"/>
        <w:ind w:firstLine="480" w:firstLineChars="200"/>
        <w:jc w:val="left"/>
        <w:rPr>
          <w:rFonts w:hint="eastAsia" w:hAnsi="宋体"/>
          <w:sz w:val="24"/>
          <w:szCs w:val="24"/>
        </w:rPr>
      </w:pPr>
      <w:r>
        <w:rPr>
          <w:rFonts w:hint="eastAsia" w:hAnsi="宋体"/>
          <w:sz w:val="24"/>
          <w:szCs w:val="24"/>
        </w:rPr>
        <w:t>1、乙方提交技术</w:t>
      </w:r>
      <w:r>
        <w:rPr>
          <w:rFonts w:hint="eastAsia" w:hAnsi="宋体"/>
          <w:sz w:val="24"/>
          <w:szCs w:val="24"/>
          <w:u w:val="single"/>
        </w:rPr>
        <w:t>服务</w:t>
      </w:r>
      <w:r>
        <w:rPr>
          <w:rFonts w:hint="eastAsia" w:hAnsi="宋体"/>
          <w:sz w:val="24"/>
          <w:szCs w:val="24"/>
        </w:rPr>
        <w:t>工作成果的形式：</w:t>
      </w:r>
      <w:r>
        <w:rPr>
          <w:rFonts w:hint="eastAsia" w:hAnsi="宋体"/>
          <w:sz w:val="24"/>
          <w:szCs w:val="24"/>
          <w:u w:val="single"/>
        </w:rPr>
        <w:t xml:space="preserve">纸质、电子报告和文档              </w:t>
      </w:r>
    </w:p>
    <w:p w14:paraId="07FF4A67">
      <w:pPr>
        <w:pStyle w:val="11"/>
        <w:spacing w:line="400" w:lineRule="exact"/>
        <w:ind w:firstLine="480" w:firstLineChars="200"/>
        <w:jc w:val="left"/>
        <w:rPr>
          <w:rFonts w:hint="eastAsia" w:hAnsi="宋体"/>
          <w:sz w:val="24"/>
          <w:szCs w:val="24"/>
        </w:rPr>
      </w:pPr>
      <w:r>
        <w:rPr>
          <w:rFonts w:hint="eastAsia" w:hAnsi="宋体"/>
          <w:sz w:val="24"/>
          <w:szCs w:val="24"/>
        </w:rPr>
        <w:t>2、技术</w:t>
      </w:r>
      <w:r>
        <w:rPr>
          <w:rFonts w:hint="eastAsia" w:hAnsi="宋体"/>
          <w:sz w:val="24"/>
          <w:szCs w:val="24"/>
          <w:u w:val="single"/>
        </w:rPr>
        <w:t>服务</w:t>
      </w:r>
      <w:r>
        <w:rPr>
          <w:rFonts w:hint="eastAsia" w:hAnsi="宋体"/>
          <w:sz w:val="24"/>
          <w:szCs w:val="24"/>
        </w:rPr>
        <w:t>工作成果的验收标准：</w:t>
      </w:r>
      <w:r>
        <w:rPr>
          <w:rFonts w:hint="eastAsia" w:hAnsi="宋体"/>
          <w:sz w:val="24"/>
          <w:szCs w:val="24"/>
          <w:u w:val="single"/>
        </w:rPr>
        <w:t xml:space="preserve">经甲方审核通过                        </w:t>
      </w:r>
    </w:p>
    <w:p w14:paraId="67D5F90E">
      <w:pPr>
        <w:pStyle w:val="11"/>
        <w:spacing w:line="400" w:lineRule="exact"/>
        <w:ind w:firstLine="480" w:firstLineChars="200"/>
        <w:jc w:val="left"/>
        <w:rPr>
          <w:rFonts w:hint="eastAsia" w:hAnsi="宋体"/>
          <w:sz w:val="24"/>
          <w:szCs w:val="24"/>
        </w:rPr>
      </w:pPr>
      <w:r>
        <w:rPr>
          <w:rFonts w:hint="eastAsia" w:hAnsi="宋体"/>
          <w:sz w:val="24"/>
          <w:szCs w:val="24"/>
        </w:rPr>
        <w:t>3、验收地点：</w:t>
      </w:r>
      <w:r>
        <w:rPr>
          <w:rFonts w:hint="eastAsia" w:hAnsi="宋体"/>
          <w:sz w:val="24"/>
          <w:szCs w:val="24"/>
          <w:u w:val="single"/>
        </w:rPr>
        <w:t xml:space="preserve">福建福化古雷石油化工有限公司杜浔办公楼                  </w:t>
      </w:r>
    </w:p>
    <w:p w14:paraId="16C06B4D">
      <w:pPr>
        <w:spacing w:line="520" w:lineRule="exact"/>
        <w:ind w:firstLine="480" w:firstLineChars="200"/>
        <w:rPr>
          <w:rFonts w:hint="eastAsia" w:ascii="宋体" w:hAnsi="宋体"/>
          <w:sz w:val="24"/>
        </w:rPr>
      </w:pPr>
      <w:r>
        <w:rPr>
          <w:rFonts w:hint="eastAsia" w:hAnsi="宋体"/>
          <w:sz w:val="24"/>
        </w:rPr>
        <w:t>4、双方确认，</w:t>
      </w:r>
      <w:r>
        <w:rPr>
          <w:rFonts w:hint="eastAsia" w:hAnsi="宋体"/>
          <w:b/>
          <w:sz w:val="24"/>
        </w:rPr>
        <w:t>甲方的验收仅作为付款依据，不代表甲方对乙方工作成果的最终认可。在技术咨询成果运用过程中，如有证据表明乙方存在弄虚作假等违反合同约定的情形，甲方仍有权要求乙方承担由此造成的损失和法律后果</w:t>
      </w:r>
      <w:r>
        <w:rPr>
          <w:rFonts w:hint="eastAsia" w:hAnsi="宋体"/>
          <w:sz w:val="24"/>
        </w:rPr>
        <w:t>。</w:t>
      </w:r>
    </w:p>
    <w:p w14:paraId="6EE11AF3">
      <w:pPr>
        <w:pStyle w:val="11"/>
        <w:spacing w:line="400" w:lineRule="exact"/>
        <w:ind w:firstLine="482" w:firstLineChars="200"/>
        <w:jc w:val="left"/>
        <w:rPr>
          <w:rFonts w:hint="eastAsia" w:hAnsi="宋体"/>
          <w:sz w:val="24"/>
          <w:szCs w:val="24"/>
        </w:rPr>
      </w:pPr>
      <w:r>
        <w:rPr>
          <w:rFonts w:hint="eastAsia" w:hAnsi="宋体"/>
          <w:b/>
          <w:bCs/>
          <w:sz w:val="24"/>
          <w:szCs w:val="24"/>
        </w:rPr>
        <w:t>第八条</w:t>
      </w:r>
      <w:r>
        <w:rPr>
          <w:rFonts w:hint="eastAsia" w:hAnsi="宋体"/>
          <w:sz w:val="24"/>
          <w:szCs w:val="24"/>
        </w:rPr>
        <w:t xml:space="preserve"> 双方确定，甲方指定</w:t>
      </w:r>
      <w:r>
        <w:rPr>
          <w:rFonts w:hint="eastAsia" w:hAnsi="宋体"/>
          <w:sz w:val="24"/>
          <w:szCs w:val="24"/>
          <w:u w:val="single"/>
        </w:rPr>
        <w:t xml:space="preserve">     </w:t>
      </w:r>
      <w:r>
        <w:rPr>
          <w:rFonts w:hint="eastAsia" w:hAnsi="宋体"/>
          <w:sz w:val="24"/>
          <w:szCs w:val="24"/>
        </w:rPr>
        <w:t>为甲方项目联系人，乙方指定</w:t>
      </w:r>
      <w:r>
        <w:rPr>
          <w:rFonts w:hint="eastAsia" w:hAnsi="宋体"/>
          <w:sz w:val="24"/>
          <w:szCs w:val="24"/>
          <w:u w:val="single"/>
        </w:rPr>
        <w:t xml:space="preserve">     </w:t>
      </w:r>
      <w:r>
        <w:rPr>
          <w:rFonts w:hint="eastAsia" w:hAnsi="宋体"/>
          <w:sz w:val="24"/>
          <w:szCs w:val="24"/>
        </w:rPr>
        <w:t>为乙方项目联系人。项目联系人承担以下责任：</w:t>
      </w:r>
    </w:p>
    <w:p w14:paraId="4CD3BC09">
      <w:pPr>
        <w:pStyle w:val="11"/>
        <w:spacing w:line="400" w:lineRule="exact"/>
        <w:ind w:firstLine="480" w:firstLineChars="200"/>
        <w:jc w:val="left"/>
        <w:rPr>
          <w:rFonts w:hint="eastAsia" w:hAnsi="宋体"/>
          <w:sz w:val="24"/>
          <w:szCs w:val="24"/>
          <w:u w:val="single"/>
        </w:rPr>
      </w:pPr>
      <w:r>
        <w:rPr>
          <w:rFonts w:hint="eastAsia" w:hAnsi="宋体"/>
          <w:sz w:val="24"/>
          <w:szCs w:val="24"/>
          <w:u w:val="single"/>
        </w:rPr>
        <w:t>负责本项目的沟通协调与执行推进工作。</w:t>
      </w:r>
    </w:p>
    <w:p w14:paraId="71E18480">
      <w:pPr>
        <w:pStyle w:val="11"/>
        <w:spacing w:line="400" w:lineRule="exact"/>
        <w:ind w:firstLine="480" w:firstLineChars="200"/>
        <w:jc w:val="left"/>
        <w:rPr>
          <w:rFonts w:hint="eastAsia" w:hAnsi="宋体"/>
          <w:sz w:val="24"/>
          <w:szCs w:val="24"/>
        </w:rPr>
      </w:pPr>
      <w:r>
        <w:rPr>
          <w:rFonts w:hint="eastAsia" w:hAnsi="宋体"/>
          <w:sz w:val="24"/>
          <w:szCs w:val="24"/>
        </w:rPr>
        <w:t>一方变更项目联系人的，应当及时以书面形式通知另一方。未及时通知并影响本合同履行或造成损失的，应承担相应的责任。</w:t>
      </w:r>
    </w:p>
    <w:p w14:paraId="73A51D88">
      <w:pPr>
        <w:pStyle w:val="11"/>
        <w:spacing w:line="400" w:lineRule="exact"/>
        <w:ind w:firstLine="482" w:firstLineChars="200"/>
        <w:jc w:val="left"/>
        <w:rPr>
          <w:rFonts w:hint="eastAsia" w:hAnsi="宋体"/>
          <w:sz w:val="24"/>
          <w:szCs w:val="24"/>
        </w:rPr>
      </w:pPr>
      <w:r>
        <w:rPr>
          <w:rFonts w:hint="eastAsia" w:hAnsi="宋体"/>
          <w:b/>
          <w:bCs/>
          <w:sz w:val="24"/>
          <w:szCs w:val="24"/>
        </w:rPr>
        <w:t>第九条</w:t>
      </w:r>
      <w:r>
        <w:rPr>
          <w:rFonts w:hint="eastAsia" w:hAnsi="宋体"/>
          <w:sz w:val="24"/>
          <w:szCs w:val="24"/>
        </w:rPr>
        <w:t xml:space="preserve"> 双方责任</w:t>
      </w:r>
    </w:p>
    <w:p w14:paraId="206ACE23">
      <w:pPr>
        <w:pStyle w:val="11"/>
        <w:spacing w:line="400" w:lineRule="exact"/>
        <w:ind w:firstLine="480" w:firstLineChars="200"/>
        <w:jc w:val="left"/>
        <w:rPr>
          <w:rFonts w:hint="eastAsia" w:hAnsi="宋体"/>
          <w:sz w:val="24"/>
          <w:szCs w:val="24"/>
        </w:rPr>
      </w:pPr>
      <w:r>
        <w:rPr>
          <w:rFonts w:hint="eastAsia" w:hAnsi="宋体"/>
          <w:sz w:val="24"/>
          <w:szCs w:val="24"/>
        </w:rPr>
        <w:t>1、甲方工作</w:t>
      </w:r>
    </w:p>
    <w:p w14:paraId="3C72E590">
      <w:pPr>
        <w:pStyle w:val="11"/>
        <w:spacing w:line="400" w:lineRule="exact"/>
        <w:ind w:firstLine="480" w:firstLineChars="200"/>
        <w:jc w:val="left"/>
        <w:rPr>
          <w:rFonts w:hint="eastAsia" w:hAnsi="宋体"/>
          <w:sz w:val="24"/>
          <w:szCs w:val="24"/>
        </w:rPr>
      </w:pPr>
      <w:r>
        <w:rPr>
          <w:rFonts w:hint="eastAsia" w:hAnsi="宋体"/>
          <w:sz w:val="24"/>
          <w:szCs w:val="24"/>
        </w:rPr>
        <w:t>1.1 甲方有权对项目的质量、进度等进行监督检查，协调工作中的有关事项。向乙方履行协调义务或行使监督管理权利，均不代表甲方承诺对乙方的行为承担任何责任，更不因此构成对乙方所应承担的各项责任和义务的减轻或豁免。</w:t>
      </w:r>
    </w:p>
    <w:p w14:paraId="1EDD9EC7">
      <w:pPr>
        <w:pStyle w:val="11"/>
        <w:spacing w:line="400" w:lineRule="exact"/>
        <w:ind w:firstLine="480" w:firstLineChars="200"/>
        <w:jc w:val="left"/>
        <w:rPr>
          <w:rFonts w:hint="eastAsia" w:hAnsi="宋体"/>
          <w:sz w:val="24"/>
          <w:szCs w:val="24"/>
        </w:rPr>
      </w:pPr>
      <w:r>
        <w:rPr>
          <w:rFonts w:hint="eastAsia" w:hAnsi="宋体"/>
          <w:sz w:val="24"/>
          <w:szCs w:val="24"/>
        </w:rPr>
        <w:t>1.2 向乙方提供应技术服务所需的材料。</w:t>
      </w:r>
    </w:p>
    <w:p w14:paraId="37210D7D">
      <w:pPr>
        <w:pStyle w:val="11"/>
        <w:spacing w:line="400" w:lineRule="exact"/>
        <w:ind w:firstLine="480" w:firstLineChars="200"/>
        <w:jc w:val="left"/>
        <w:rPr>
          <w:rFonts w:hint="eastAsia" w:hAnsi="宋体"/>
          <w:sz w:val="24"/>
          <w:szCs w:val="24"/>
        </w:rPr>
      </w:pPr>
      <w:r>
        <w:rPr>
          <w:rFonts w:hint="eastAsia" w:hAnsi="宋体"/>
          <w:sz w:val="24"/>
          <w:szCs w:val="24"/>
        </w:rPr>
        <w:t>1.3 按合同要求支付技术服务费用。</w:t>
      </w:r>
    </w:p>
    <w:p w14:paraId="0A0F3C0C">
      <w:pPr>
        <w:pStyle w:val="11"/>
        <w:spacing w:line="400" w:lineRule="exact"/>
        <w:ind w:firstLine="480" w:firstLineChars="200"/>
        <w:jc w:val="left"/>
        <w:rPr>
          <w:rFonts w:hint="eastAsia" w:hAnsi="宋体"/>
          <w:sz w:val="24"/>
          <w:szCs w:val="24"/>
        </w:rPr>
      </w:pPr>
      <w:r>
        <w:rPr>
          <w:rFonts w:hint="eastAsia" w:hAnsi="宋体"/>
          <w:sz w:val="24"/>
          <w:szCs w:val="24"/>
        </w:rPr>
        <w:t>2、乙方工作</w:t>
      </w:r>
    </w:p>
    <w:p w14:paraId="057F3E5A">
      <w:pPr>
        <w:pStyle w:val="11"/>
        <w:spacing w:line="400" w:lineRule="exact"/>
        <w:ind w:firstLine="480" w:firstLineChars="200"/>
        <w:jc w:val="left"/>
        <w:rPr>
          <w:rFonts w:hint="eastAsia" w:hAnsi="宋体"/>
          <w:sz w:val="24"/>
          <w:szCs w:val="24"/>
        </w:rPr>
      </w:pPr>
      <w:r>
        <w:rPr>
          <w:rFonts w:hint="eastAsia" w:hAnsi="宋体"/>
          <w:sz w:val="24"/>
          <w:szCs w:val="24"/>
        </w:rPr>
        <w:t>2.1 根据甲方要求完成工作。</w:t>
      </w:r>
    </w:p>
    <w:p w14:paraId="7D87B9B0">
      <w:pPr>
        <w:pStyle w:val="11"/>
        <w:spacing w:line="400" w:lineRule="exact"/>
        <w:ind w:firstLine="480" w:firstLineChars="200"/>
        <w:jc w:val="left"/>
        <w:rPr>
          <w:rFonts w:hint="eastAsia" w:hAnsi="宋体"/>
          <w:sz w:val="24"/>
          <w:szCs w:val="24"/>
        </w:rPr>
      </w:pPr>
      <w:r>
        <w:rPr>
          <w:rFonts w:hint="eastAsia" w:hAnsi="宋体"/>
          <w:sz w:val="24"/>
          <w:szCs w:val="24"/>
        </w:rPr>
        <w:t>2.2 承担项目技术服务涉及的全部费用，包含交通费、人员差旅费、人工费、材料费、印刷费、材料邮寄费等。</w:t>
      </w:r>
    </w:p>
    <w:p w14:paraId="5AEBA194">
      <w:pPr>
        <w:pStyle w:val="11"/>
        <w:spacing w:line="400" w:lineRule="exact"/>
        <w:ind w:firstLine="480" w:firstLineChars="200"/>
        <w:jc w:val="left"/>
        <w:rPr>
          <w:rFonts w:hint="eastAsia" w:hAnsi="宋体"/>
          <w:sz w:val="24"/>
          <w:szCs w:val="24"/>
        </w:rPr>
      </w:pPr>
      <w:r>
        <w:rPr>
          <w:rFonts w:hint="eastAsia" w:hAnsi="宋体"/>
          <w:sz w:val="24"/>
          <w:szCs w:val="24"/>
        </w:rPr>
        <w:t>2.3 在甲方所管理企业的工厂内技术交流或是勘察时，应遵守相关安全管理规定。</w:t>
      </w:r>
    </w:p>
    <w:p w14:paraId="1CA2825C">
      <w:pPr>
        <w:pStyle w:val="11"/>
        <w:spacing w:line="400" w:lineRule="exact"/>
        <w:ind w:firstLine="482" w:firstLineChars="200"/>
        <w:jc w:val="left"/>
        <w:rPr>
          <w:rFonts w:hint="eastAsia" w:hAnsi="宋体"/>
          <w:sz w:val="24"/>
          <w:szCs w:val="24"/>
        </w:rPr>
      </w:pPr>
      <w:r>
        <w:rPr>
          <w:rFonts w:hint="eastAsia" w:hAnsi="宋体"/>
          <w:b/>
          <w:bCs/>
          <w:sz w:val="24"/>
          <w:szCs w:val="24"/>
        </w:rPr>
        <w:t>第十条</w:t>
      </w:r>
      <w:r>
        <w:rPr>
          <w:rFonts w:hint="eastAsia" w:hAnsi="宋体"/>
          <w:sz w:val="24"/>
          <w:szCs w:val="24"/>
        </w:rPr>
        <w:t xml:space="preserve">  违约责任</w:t>
      </w:r>
    </w:p>
    <w:p w14:paraId="18E0C231">
      <w:pPr>
        <w:spacing w:line="400" w:lineRule="exact"/>
        <w:ind w:firstLine="480" w:firstLineChars="200"/>
        <w:rPr>
          <w:rStyle w:val="34"/>
          <w:color w:val="000000"/>
          <w:sz w:val="24"/>
        </w:rPr>
      </w:pPr>
      <w:r>
        <w:rPr>
          <w:rStyle w:val="34"/>
          <w:rFonts w:hint="eastAsia"/>
          <w:color w:val="000000"/>
          <w:sz w:val="24"/>
        </w:rPr>
        <w:t>1.乙方需严格按照参选文件所列专家组成员提供服务，未经甲方同意更换专家组成员，应向甲方支付违约金人民币20000元，并赔偿由此给甲方造成的损失，且甲方有权单方解除合同并拒绝支付任何费用。</w:t>
      </w:r>
    </w:p>
    <w:p w14:paraId="216FC3DD">
      <w:pPr>
        <w:spacing w:line="400" w:lineRule="exact"/>
        <w:ind w:firstLine="480" w:firstLineChars="200"/>
        <w:rPr>
          <w:rStyle w:val="34"/>
          <w:color w:val="000000"/>
          <w:sz w:val="24"/>
        </w:rPr>
      </w:pPr>
      <w:r>
        <w:rPr>
          <w:rStyle w:val="34"/>
          <w:rFonts w:hint="eastAsia"/>
          <w:color w:val="000000"/>
          <w:sz w:val="24"/>
        </w:rPr>
        <w:t>2．乙方逾期提交服务咨询报告等工作成果的，</w:t>
      </w:r>
      <w:r>
        <w:rPr>
          <w:rStyle w:val="34"/>
          <w:rFonts w:hint="eastAsia"/>
          <w:b/>
          <w:color w:val="000000"/>
          <w:sz w:val="24"/>
        </w:rPr>
        <w:t>每日按照合同总价</w:t>
      </w:r>
      <w:r>
        <w:rPr>
          <w:rStyle w:val="34"/>
          <w:b/>
          <w:color w:val="000000"/>
          <w:sz w:val="24"/>
          <w:u w:val="single"/>
        </w:rPr>
        <w:t xml:space="preserve"> 1 </w:t>
      </w:r>
      <w:r>
        <w:rPr>
          <w:rStyle w:val="34"/>
          <w:b/>
          <w:color w:val="000000"/>
          <w:sz w:val="24"/>
        </w:rPr>
        <w:t>%</w:t>
      </w:r>
      <w:r>
        <w:rPr>
          <w:rStyle w:val="34"/>
          <w:rFonts w:hint="eastAsia"/>
          <w:b/>
          <w:color w:val="000000"/>
          <w:sz w:val="24"/>
        </w:rPr>
        <w:t>向甲方支付违约金，逾期超过</w:t>
      </w:r>
      <w:r>
        <w:rPr>
          <w:rFonts w:hint="eastAsia" w:hAnsi="宋体"/>
          <w:b/>
          <w:sz w:val="24"/>
          <w:u w:val="single"/>
        </w:rPr>
        <w:t xml:space="preserve">  15  </w:t>
      </w:r>
      <w:r>
        <w:rPr>
          <w:rStyle w:val="34"/>
          <w:rFonts w:hint="eastAsia"/>
          <w:b/>
          <w:color w:val="000000"/>
          <w:sz w:val="24"/>
        </w:rPr>
        <w:t>日的，</w:t>
      </w:r>
      <w:bookmarkStart w:id="80" w:name="_Hlk208908144"/>
      <w:r>
        <w:rPr>
          <w:rStyle w:val="34"/>
          <w:rFonts w:hint="eastAsia"/>
          <w:b/>
          <w:color w:val="000000"/>
          <w:sz w:val="24"/>
        </w:rPr>
        <w:t>甲方有权解除本合同</w:t>
      </w:r>
      <w:bookmarkEnd w:id="80"/>
      <w:r>
        <w:rPr>
          <w:rStyle w:val="34"/>
          <w:rFonts w:hint="eastAsia"/>
          <w:b/>
          <w:color w:val="000000"/>
          <w:sz w:val="24"/>
        </w:rPr>
        <w:t>并要求乙方退还已经收取的费用，乙方应按照合同总价</w:t>
      </w:r>
      <w:r>
        <w:rPr>
          <w:rStyle w:val="34"/>
          <w:b/>
          <w:color w:val="000000"/>
          <w:sz w:val="24"/>
        </w:rPr>
        <w:t>20%</w:t>
      </w:r>
      <w:r>
        <w:rPr>
          <w:rStyle w:val="34"/>
          <w:rFonts w:hint="eastAsia"/>
          <w:b/>
          <w:color w:val="000000"/>
          <w:sz w:val="24"/>
        </w:rPr>
        <w:t>向甲方支付违约金，违约金不足以弥补甲方损失的，甲方有权追偿</w:t>
      </w:r>
      <w:r>
        <w:rPr>
          <w:rStyle w:val="34"/>
          <w:rFonts w:hint="eastAsia"/>
          <w:color w:val="000000"/>
          <w:sz w:val="24"/>
        </w:rPr>
        <w:t>。</w:t>
      </w:r>
    </w:p>
    <w:p w14:paraId="57B9B0DA">
      <w:pPr>
        <w:pStyle w:val="11"/>
        <w:spacing w:line="400" w:lineRule="exact"/>
        <w:ind w:firstLine="480" w:firstLineChars="200"/>
        <w:jc w:val="left"/>
        <w:rPr>
          <w:rStyle w:val="34"/>
          <w:b/>
          <w:color w:val="000000"/>
          <w:sz w:val="24"/>
          <w:szCs w:val="24"/>
        </w:rPr>
      </w:pPr>
      <w:r>
        <w:rPr>
          <w:rStyle w:val="34"/>
          <w:rFonts w:hint="eastAsia"/>
          <w:color w:val="000000"/>
          <w:sz w:val="24"/>
          <w:szCs w:val="24"/>
        </w:rPr>
        <w:t>3．乙方提交的服务咨询报告不符合合同约定的，应在甲方指定期限内修改完善直至符合合同约定为止，</w:t>
      </w:r>
      <w:r>
        <w:rPr>
          <w:rStyle w:val="34"/>
          <w:rFonts w:hint="eastAsia"/>
          <w:b/>
          <w:color w:val="000000"/>
          <w:sz w:val="24"/>
          <w:szCs w:val="24"/>
        </w:rPr>
        <w:t>由此造成逾期提交的，按照第1款约定执行。</w:t>
      </w:r>
    </w:p>
    <w:p w14:paraId="09C2848C">
      <w:pPr>
        <w:pStyle w:val="11"/>
        <w:spacing w:line="400" w:lineRule="exact"/>
        <w:ind w:firstLine="480" w:firstLineChars="200"/>
        <w:jc w:val="left"/>
        <w:rPr>
          <w:rFonts w:hint="eastAsia" w:hAnsi="宋体"/>
          <w:sz w:val="24"/>
          <w:szCs w:val="24"/>
        </w:rPr>
      </w:pPr>
      <w:r>
        <w:rPr>
          <w:rStyle w:val="34"/>
          <w:rFonts w:hint="eastAsia"/>
          <w:color w:val="000000"/>
          <w:sz w:val="24"/>
          <w:szCs w:val="24"/>
        </w:rPr>
        <w:t>4．任何一方违反保密义务的，应向对方支付违约金人民币</w:t>
      </w:r>
      <w:r>
        <w:rPr>
          <w:rFonts w:hint="eastAsia" w:hAnsi="宋体"/>
          <w:sz w:val="24"/>
          <w:szCs w:val="24"/>
          <w:u w:val="single"/>
        </w:rPr>
        <w:t xml:space="preserve"> 10000 </w:t>
      </w:r>
      <w:r>
        <w:rPr>
          <w:rStyle w:val="34"/>
          <w:rFonts w:hint="eastAsia"/>
          <w:color w:val="000000"/>
          <w:sz w:val="24"/>
          <w:szCs w:val="24"/>
        </w:rPr>
        <w:t>元；赔偿由此给对方造成的损失。</w:t>
      </w:r>
    </w:p>
    <w:p w14:paraId="0663B12D">
      <w:pPr>
        <w:pStyle w:val="11"/>
        <w:spacing w:line="400" w:lineRule="exact"/>
        <w:ind w:firstLine="482" w:firstLineChars="200"/>
        <w:jc w:val="left"/>
        <w:rPr>
          <w:rFonts w:hint="eastAsia" w:hAnsi="宋体"/>
          <w:sz w:val="24"/>
          <w:szCs w:val="24"/>
        </w:rPr>
      </w:pPr>
      <w:r>
        <w:rPr>
          <w:rFonts w:hint="eastAsia" w:hAnsi="宋体"/>
          <w:b/>
          <w:bCs/>
          <w:sz w:val="24"/>
          <w:szCs w:val="24"/>
        </w:rPr>
        <w:t>第十一条</w:t>
      </w:r>
      <w:r>
        <w:rPr>
          <w:rFonts w:hint="eastAsia" w:hAnsi="宋体"/>
          <w:sz w:val="24"/>
          <w:szCs w:val="24"/>
        </w:rPr>
        <w:t xml:space="preserve"> 双方因履行本合同而发生的争议，可协商、调解解决，也可直接采取下列第</w:t>
      </w:r>
      <w:r>
        <w:rPr>
          <w:rFonts w:hint="eastAsia" w:hAnsi="宋体"/>
          <w:sz w:val="24"/>
          <w:szCs w:val="24"/>
          <w:u w:val="single"/>
        </w:rPr>
        <w:t xml:space="preserve">  2  </w:t>
      </w:r>
      <w:r>
        <w:rPr>
          <w:rFonts w:hint="eastAsia" w:hAnsi="宋体"/>
          <w:sz w:val="24"/>
          <w:szCs w:val="24"/>
        </w:rPr>
        <w:t>种方式解决：</w:t>
      </w:r>
    </w:p>
    <w:p w14:paraId="3990B54F">
      <w:pPr>
        <w:pStyle w:val="11"/>
        <w:spacing w:line="400" w:lineRule="exact"/>
        <w:ind w:firstLine="480" w:firstLineChars="200"/>
        <w:jc w:val="left"/>
        <w:rPr>
          <w:rFonts w:hint="eastAsia" w:hAnsi="宋体"/>
          <w:sz w:val="24"/>
          <w:szCs w:val="24"/>
        </w:rPr>
      </w:pPr>
      <w:r>
        <w:rPr>
          <w:rFonts w:hint="eastAsia" w:hAnsi="宋体"/>
          <w:sz w:val="24"/>
          <w:szCs w:val="24"/>
        </w:rPr>
        <w:t>1．向</w:t>
      </w:r>
      <w:r>
        <w:rPr>
          <w:rFonts w:hint="eastAsia" w:hAnsi="宋体"/>
          <w:sz w:val="24"/>
          <w:szCs w:val="24"/>
          <w:u w:val="single"/>
        </w:rPr>
        <w:t xml:space="preserve">     </w:t>
      </w:r>
      <w:r>
        <w:rPr>
          <w:rFonts w:hint="eastAsia" w:hAnsi="宋体"/>
          <w:sz w:val="24"/>
          <w:szCs w:val="24"/>
        </w:rPr>
        <w:t>仲裁委员会申请仲裁；</w:t>
      </w:r>
    </w:p>
    <w:p w14:paraId="7F8866BF">
      <w:pPr>
        <w:pStyle w:val="11"/>
        <w:spacing w:line="400" w:lineRule="exact"/>
        <w:ind w:firstLine="480" w:firstLineChars="200"/>
        <w:jc w:val="left"/>
        <w:rPr>
          <w:rFonts w:hint="eastAsia" w:hAnsi="宋体"/>
          <w:sz w:val="24"/>
          <w:szCs w:val="24"/>
        </w:rPr>
      </w:pPr>
      <w:r>
        <w:rPr>
          <w:rFonts w:hint="eastAsia" w:hAnsi="宋体"/>
          <w:sz w:val="24"/>
          <w:szCs w:val="24"/>
        </w:rPr>
        <w:t>2．向甲方所在地人民法院提起诉讼。</w:t>
      </w:r>
    </w:p>
    <w:p w14:paraId="2EDA9F6E">
      <w:pPr>
        <w:pStyle w:val="11"/>
        <w:spacing w:line="400" w:lineRule="exact"/>
        <w:ind w:firstLine="482" w:firstLineChars="200"/>
        <w:jc w:val="left"/>
        <w:rPr>
          <w:rFonts w:hint="eastAsia" w:hAnsi="宋体"/>
          <w:sz w:val="24"/>
          <w:szCs w:val="24"/>
        </w:rPr>
      </w:pPr>
      <w:r>
        <w:rPr>
          <w:rFonts w:hint="eastAsia" w:hAnsi="宋体"/>
          <w:b/>
          <w:bCs/>
          <w:sz w:val="24"/>
          <w:szCs w:val="24"/>
        </w:rPr>
        <w:t>第十二条</w:t>
      </w:r>
      <w:r>
        <w:rPr>
          <w:rFonts w:hint="eastAsia" w:hAnsi="宋体"/>
          <w:sz w:val="24"/>
          <w:szCs w:val="24"/>
        </w:rPr>
        <w:t xml:space="preserve"> 其他</w:t>
      </w:r>
    </w:p>
    <w:p w14:paraId="1423041F">
      <w:pPr>
        <w:pStyle w:val="11"/>
        <w:spacing w:line="400" w:lineRule="exact"/>
        <w:ind w:firstLine="480" w:firstLineChars="200"/>
        <w:jc w:val="left"/>
        <w:rPr>
          <w:rStyle w:val="34"/>
          <w:color w:val="000000"/>
          <w:sz w:val="24"/>
          <w:szCs w:val="24"/>
        </w:rPr>
      </w:pPr>
      <w:r>
        <w:rPr>
          <w:rStyle w:val="34"/>
          <w:rFonts w:hint="eastAsia"/>
          <w:color w:val="000000"/>
          <w:sz w:val="24"/>
          <w:szCs w:val="24"/>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1E61E5D7">
      <w:pPr>
        <w:pStyle w:val="11"/>
        <w:spacing w:line="400" w:lineRule="exact"/>
        <w:ind w:firstLine="480" w:firstLineChars="200"/>
        <w:jc w:val="left"/>
        <w:rPr>
          <w:rFonts w:hint="eastAsia" w:hAnsi="宋体"/>
          <w:b/>
          <w:sz w:val="24"/>
          <w:szCs w:val="24"/>
        </w:rPr>
      </w:pPr>
      <w:r>
        <w:rPr>
          <w:rFonts w:hint="eastAsia" w:hAnsi="宋体"/>
          <w:sz w:val="24"/>
          <w:szCs w:val="24"/>
        </w:rPr>
        <w:t>2．</w:t>
      </w:r>
      <w:r>
        <w:rPr>
          <w:rFonts w:hint="eastAsia" w:hAnsi="宋体"/>
          <w:b/>
          <w:sz w:val="24"/>
          <w:szCs w:val="24"/>
        </w:rPr>
        <w:t>乙方提交的服务咨询报告及其所包含的技术成果的所有权及知识产权归甲方所有，甲方在此基础上可以进行技术创新和改进并对创新和改进的结果享有知识产权。乙方不得自用或将服务咨询报告提供给第三方使用，如有违反按照泄密处理。</w:t>
      </w:r>
    </w:p>
    <w:p w14:paraId="2CBB3502">
      <w:pPr>
        <w:pStyle w:val="11"/>
        <w:spacing w:line="400" w:lineRule="exact"/>
        <w:ind w:firstLine="482" w:firstLineChars="200"/>
        <w:jc w:val="left"/>
        <w:rPr>
          <w:rFonts w:hint="eastAsia" w:hAnsi="宋体"/>
          <w:sz w:val="24"/>
          <w:szCs w:val="24"/>
        </w:rPr>
      </w:pPr>
      <w:r>
        <w:rPr>
          <w:rFonts w:hint="eastAsia" w:hAnsi="宋体"/>
          <w:b/>
          <w:bCs/>
          <w:sz w:val="24"/>
          <w:szCs w:val="24"/>
        </w:rPr>
        <w:t>第十三条</w:t>
      </w:r>
      <w:r>
        <w:rPr>
          <w:rFonts w:hint="eastAsia" w:hAnsi="宋体"/>
          <w:sz w:val="24"/>
          <w:szCs w:val="24"/>
        </w:rPr>
        <w:t xml:space="preserve"> 本合同经双方签订后生效。本合同一式</w:t>
      </w:r>
      <w:r>
        <w:rPr>
          <w:rFonts w:hint="eastAsia" w:hAnsi="宋体"/>
          <w:sz w:val="24"/>
          <w:szCs w:val="24"/>
          <w:u w:val="single"/>
        </w:rPr>
        <w:t xml:space="preserve">  5  </w:t>
      </w:r>
      <w:r>
        <w:rPr>
          <w:rFonts w:hint="eastAsia" w:hAnsi="宋体"/>
          <w:sz w:val="24"/>
          <w:szCs w:val="24"/>
        </w:rPr>
        <w:t>份，甲方执</w:t>
      </w:r>
      <w:r>
        <w:rPr>
          <w:rFonts w:hint="eastAsia" w:hAnsi="宋体"/>
          <w:sz w:val="24"/>
          <w:szCs w:val="24"/>
          <w:u w:val="single"/>
        </w:rPr>
        <w:t xml:space="preserve">  3  </w:t>
      </w:r>
      <w:r>
        <w:rPr>
          <w:rFonts w:hint="eastAsia" w:hAnsi="宋体"/>
          <w:sz w:val="24"/>
          <w:szCs w:val="24"/>
        </w:rPr>
        <w:t>份，乙方执</w:t>
      </w:r>
      <w:r>
        <w:rPr>
          <w:rFonts w:hint="eastAsia" w:hAnsi="宋体"/>
          <w:sz w:val="24"/>
          <w:szCs w:val="24"/>
          <w:u w:val="single"/>
        </w:rPr>
        <w:t xml:space="preserve">  2  </w:t>
      </w:r>
      <w:r>
        <w:rPr>
          <w:rFonts w:hint="eastAsia" w:hAnsi="宋体"/>
          <w:sz w:val="24"/>
          <w:szCs w:val="24"/>
        </w:rPr>
        <w:t>份，具有同等法律效力。</w:t>
      </w:r>
    </w:p>
    <w:p w14:paraId="24ED67A4">
      <w:pPr>
        <w:pStyle w:val="11"/>
        <w:spacing w:line="400" w:lineRule="exact"/>
        <w:jc w:val="left"/>
        <w:rPr>
          <w:rFonts w:hint="eastAsia" w:hAnsi="宋体"/>
          <w:sz w:val="24"/>
          <w:szCs w:val="24"/>
        </w:rPr>
      </w:pPr>
    </w:p>
    <w:p w14:paraId="42ADD738">
      <w:pPr>
        <w:spacing w:line="440" w:lineRule="exact"/>
        <w:rPr>
          <w:rFonts w:hint="eastAsia" w:cs="Arial" w:asciiTheme="majorEastAsia" w:hAnsiTheme="majorEastAsia" w:eastAsiaTheme="majorEastAsia"/>
          <w:b/>
          <w:sz w:val="24"/>
        </w:rPr>
      </w:pPr>
      <w:r>
        <w:rPr>
          <w:rFonts w:hint="eastAsia" w:cs="Arial" w:asciiTheme="majorEastAsia" w:hAnsiTheme="majorEastAsia" w:eastAsiaTheme="majorEastAsia"/>
          <w:b/>
          <w:sz w:val="24"/>
        </w:rPr>
        <w:t>（以下为签署栏，无正文）</w:t>
      </w:r>
    </w:p>
    <w:p w14:paraId="2226549D">
      <w:pPr>
        <w:pStyle w:val="11"/>
        <w:spacing w:line="400" w:lineRule="exact"/>
        <w:jc w:val="left"/>
        <w:rPr>
          <w:rFonts w:hint="eastAsia" w:hAnsi="宋体"/>
          <w:sz w:val="24"/>
          <w:szCs w:val="24"/>
        </w:rPr>
      </w:pPr>
    </w:p>
    <w:p w14:paraId="3388D9A3">
      <w:pPr>
        <w:pStyle w:val="11"/>
        <w:spacing w:line="400" w:lineRule="exact"/>
        <w:jc w:val="left"/>
        <w:rPr>
          <w:rFonts w:hint="eastAsia" w:hAnsi="宋体"/>
          <w:sz w:val="24"/>
          <w:szCs w:val="24"/>
        </w:rPr>
      </w:pPr>
    </w:p>
    <w:p w14:paraId="24120A73">
      <w:pPr>
        <w:pStyle w:val="11"/>
        <w:spacing w:line="400" w:lineRule="exact"/>
        <w:ind w:firstLine="480" w:firstLineChars="200"/>
        <w:jc w:val="left"/>
        <w:rPr>
          <w:rFonts w:hint="eastAsia" w:hAnsi="宋体"/>
          <w:sz w:val="24"/>
          <w:szCs w:val="24"/>
        </w:rPr>
      </w:pPr>
      <w:r>
        <w:rPr>
          <w:rFonts w:hint="eastAsia" w:hAnsi="宋体"/>
          <w:sz w:val="24"/>
          <w:szCs w:val="24"/>
        </w:rPr>
        <w:t>甲方（公章）:                                       乙方（公章）：</w:t>
      </w:r>
    </w:p>
    <w:p w14:paraId="63279526">
      <w:pPr>
        <w:pStyle w:val="11"/>
        <w:spacing w:line="400" w:lineRule="exact"/>
        <w:ind w:firstLine="480" w:firstLineChars="200"/>
        <w:jc w:val="left"/>
        <w:rPr>
          <w:rFonts w:hint="eastAsia" w:hAnsi="宋体"/>
          <w:sz w:val="24"/>
          <w:szCs w:val="24"/>
        </w:rPr>
      </w:pPr>
      <w:r>
        <w:rPr>
          <w:rFonts w:hint="eastAsia" w:hAnsi="宋体"/>
          <w:sz w:val="24"/>
          <w:szCs w:val="24"/>
        </w:rPr>
        <w:t xml:space="preserve">                           </w:t>
      </w:r>
    </w:p>
    <w:p w14:paraId="0091B590">
      <w:pPr>
        <w:pStyle w:val="11"/>
        <w:spacing w:line="400" w:lineRule="exact"/>
        <w:jc w:val="left"/>
        <w:rPr>
          <w:rFonts w:hint="eastAsia" w:hAnsi="宋体"/>
          <w:sz w:val="24"/>
          <w:szCs w:val="24"/>
        </w:rPr>
      </w:pPr>
      <w:r>
        <w:rPr>
          <w:rFonts w:hint="eastAsia" w:hAnsi="宋体"/>
          <w:sz w:val="24"/>
          <w:szCs w:val="24"/>
        </w:rPr>
        <w:t xml:space="preserve">         年      月      日                                  年      月      日</w:t>
      </w:r>
    </w:p>
    <w:p w14:paraId="70EF1839">
      <w:pPr>
        <w:rPr>
          <w:rFonts w:hint="eastAsia" w:ascii="宋体" w:hAnsi="宋体" w:cs="宋体"/>
          <w:sz w:val="24"/>
        </w:rPr>
      </w:pPr>
      <w:r>
        <w:rPr>
          <w:rFonts w:hint="eastAsia" w:ascii="宋体" w:hAnsi="宋体" w:cs="宋体"/>
          <w:sz w:val="24"/>
        </w:rPr>
        <w:br w:type="page"/>
      </w:r>
    </w:p>
    <w:p w14:paraId="1F81246B">
      <w:pPr>
        <w:pStyle w:val="2"/>
        <w:spacing w:after="0"/>
        <w:jc w:val="center"/>
        <w:outlineLvl w:val="0"/>
        <w:rPr>
          <w:rFonts w:hint="eastAsia" w:ascii="黑体" w:hAnsi="黑体" w:eastAsia="黑体" w:cs="宋体"/>
          <w:sz w:val="28"/>
          <w:szCs w:val="28"/>
        </w:rPr>
      </w:pPr>
      <w:bookmarkStart w:id="81" w:name="_Toc169117870"/>
      <w:bookmarkStart w:id="82" w:name="_Toc208325544"/>
      <w:r>
        <w:rPr>
          <w:rFonts w:hint="eastAsia" w:ascii="黑体" w:hAnsi="黑体" w:eastAsia="黑体" w:cs="宋体"/>
          <w:sz w:val="28"/>
          <w:szCs w:val="28"/>
        </w:rPr>
        <w:t>第七章</w:t>
      </w:r>
      <w:r>
        <w:rPr>
          <w:rFonts w:hint="eastAsia" w:ascii="Calibri" w:hAnsi="Calibri" w:eastAsia="黑体" w:cs="Calibri"/>
          <w:sz w:val="28"/>
          <w:szCs w:val="28"/>
        </w:rPr>
        <w:t xml:space="preserve">  </w:t>
      </w:r>
      <w:r>
        <w:rPr>
          <w:rFonts w:hint="eastAsia" w:ascii="黑体" w:hAnsi="黑体" w:eastAsia="黑体" w:cs="宋体"/>
          <w:sz w:val="28"/>
          <w:szCs w:val="28"/>
        </w:rPr>
        <w:t>参选文件格式</w:t>
      </w:r>
      <w:bookmarkEnd w:id="81"/>
      <w:bookmarkEnd w:id="82"/>
    </w:p>
    <w:p w14:paraId="385ED67E">
      <w:pPr>
        <w:pStyle w:val="11"/>
        <w:spacing w:line="615"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福建福化古雷石油化工有限公司</w:t>
      </w:r>
    </w:p>
    <w:p w14:paraId="29576D67">
      <w:pPr>
        <w:spacing w:line="560" w:lineRule="exact"/>
        <w:jc w:val="center"/>
        <w:rPr>
          <w:b/>
          <w:sz w:val="24"/>
        </w:rPr>
      </w:pPr>
    </w:p>
    <w:p w14:paraId="1A0CC2CA">
      <w:pPr>
        <w:spacing w:line="560" w:lineRule="exact"/>
        <w:jc w:val="center"/>
        <w:rPr>
          <w:b/>
          <w:sz w:val="24"/>
        </w:rPr>
      </w:pPr>
    </w:p>
    <w:p w14:paraId="769985F6">
      <w:pPr>
        <w:spacing w:line="560" w:lineRule="exact"/>
        <w:jc w:val="center"/>
        <w:rPr>
          <w:b/>
          <w:sz w:val="24"/>
        </w:rPr>
      </w:pPr>
    </w:p>
    <w:p w14:paraId="7AB5329D">
      <w:pPr>
        <w:spacing w:line="560" w:lineRule="exact"/>
        <w:jc w:val="center"/>
        <w:rPr>
          <w:rFonts w:hint="eastAsia" w:ascii="微软雅黑" w:hAnsi="微软雅黑" w:eastAsia="微软雅黑"/>
          <w:b/>
          <w:sz w:val="44"/>
          <w:szCs w:val="44"/>
        </w:rPr>
      </w:pPr>
      <w:r>
        <w:rPr>
          <w:rFonts w:hint="eastAsia" w:ascii="微软雅黑" w:hAnsi="微软雅黑" w:eastAsia="微软雅黑"/>
          <w:b/>
          <w:sz w:val="44"/>
          <w:szCs w:val="44"/>
        </w:rPr>
        <w:t>化工企业安全、工艺、设备管理体系</w:t>
      </w:r>
    </w:p>
    <w:p w14:paraId="1463A1CE">
      <w:pPr>
        <w:spacing w:line="560" w:lineRule="exact"/>
        <w:jc w:val="center"/>
        <w:rPr>
          <w:rFonts w:hint="eastAsia" w:ascii="微软雅黑" w:hAnsi="微软雅黑" w:eastAsia="微软雅黑"/>
          <w:b/>
          <w:sz w:val="44"/>
          <w:szCs w:val="44"/>
        </w:rPr>
      </w:pPr>
      <w:r>
        <w:rPr>
          <w:rFonts w:hint="eastAsia" w:ascii="微软雅黑" w:hAnsi="微软雅黑" w:eastAsia="微软雅黑"/>
          <w:b/>
          <w:sz w:val="44"/>
          <w:szCs w:val="44"/>
        </w:rPr>
        <w:t>评审技术服务</w:t>
      </w:r>
      <w:r>
        <w:rPr>
          <w:rFonts w:ascii="微软雅黑" w:hAnsi="微软雅黑" w:eastAsia="微软雅黑"/>
          <w:b/>
          <w:sz w:val="44"/>
          <w:szCs w:val="44"/>
        </w:rPr>
        <w:t>项目</w:t>
      </w:r>
    </w:p>
    <w:p w14:paraId="4D431D8C">
      <w:pPr>
        <w:spacing w:line="1215" w:lineRule="exact"/>
        <w:jc w:val="center"/>
        <w:rPr>
          <w:b/>
          <w:sz w:val="44"/>
          <w:szCs w:val="44"/>
        </w:rPr>
      </w:pPr>
      <w:r>
        <w:rPr>
          <w:rFonts w:hint="eastAsia"/>
          <w:b/>
          <w:sz w:val="44"/>
          <w:szCs w:val="44"/>
        </w:rPr>
        <w:t>参选文件</w:t>
      </w:r>
    </w:p>
    <w:p w14:paraId="22D1692A">
      <w:pPr>
        <w:spacing w:line="1600" w:lineRule="exact"/>
        <w:jc w:val="center"/>
        <w:rPr>
          <w:b/>
          <w:sz w:val="72"/>
          <w:szCs w:val="72"/>
        </w:rPr>
      </w:pPr>
    </w:p>
    <w:p w14:paraId="56BC39E9">
      <w:pPr>
        <w:spacing w:line="1600" w:lineRule="exact"/>
        <w:jc w:val="center"/>
        <w:rPr>
          <w:b/>
          <w:sz w:val="72"/>
          <w:szCs w:val="72"/>
        </w:rPr>
      </w:pPr>
    </w:p>
    <w:p w14:paraId="0E068EB1">
      <w:pPr>
        <w:spacing w:line="1600" w:lineRule="exact"/>
        <w:jc w:val="center"/>
        <w:rPr>
          <w:b/>
          <w:sz w:val="72"/>
          <w:szCs w:val="72"/>
        </w:rPr>
      </w:pPr>
    </w:p>
    <w:p w14:paraId="2C9CD71F">
      <w:pPr>
        <w:pStyle w:val="11"/>
        <w:jc w:val="center"/>
        <w:rPr>
          <w:rFonts w:ascii="Times New Roman" w:hAnsi="Times New Roman"/>
          <w:b/>
          <w:bCs/>
          <w:sz w:val="32"/>
          <w:szCs w:val="32"/>
        </w:rPr>
      </w:pPr>
      <w:r>
        <w:rPr>
          <w:rFonts w:hint="eastAsia" w:ascii="Times New Roman" w:hAnsi="Times New Roman"/>
          <w:b/>
          <w:bCs/>
          <w:w w:val="95"/>
          <w:sz w:val="32"/>
          <w:szCs w:val="32"/>
        </w:rPr>
        <w:t>参选</w:t>
      </w:r>
      <w:r>
        <w:rPr>
          <w:rFonts w:ascii="Times New Roman" w:hAnsi="Times New Roman"/>
          <w:b/>
          <w:bCs/>
          <w:w w:val="95"/>
          <w:sz w:val="32"/>
          <w:szCs w:val="32"/>
        </w:rPr>
        <w:t>人：</w:t>
      </w:r>
      <w:r>
        <w:rPr>
          <w:rFonts w:hint="eastAsia" w:ascii="Times New Roman" w:hAnsi="Times New Roman"/>
          <w:b/>
          <w:bCs/>
          <w:i/>
          <w:iCs/>
          <w:color w:val="C00000"/>
          <w:sz w:val="32"/>
          <w:szCs w:val="32"/>
        </w:rPr>
        <w:t xml:space="preserve"> </w:t>
      </w:r>
      <w:r>
        <w:rPr>
          <w:rFonts w:hint="eastAsia" w:ascii="Times New Roman" w:hAnsi="Times New Roman"/>
          <w:b/>
          <w:bCs/>
          <w:i/>
          <w:iCs/>
          <w:color w:val="C00000"/>
          <w:sz w:val="32"/>
          <w:szCs w:val="32"/>
          <w:u w:val="single"/>
        </w:rPr>
        <w:t>（打印时请取消下划线）</w:t>
      </w:r>
    </w:p>
    <w:p w14:paraId="17F58A4B">
      <w:pPr>
        <w:pStyle w:val="11"/>
        <w:jc w:val="center"/>
        <w:rPr>
          <w:rFonts w:ascii="Times New Roman" w:hAnsi="Times New Roman"/>
          <w:b/>
          <w:bCs/>
          <w:w w:val="95"/>
          <w:sz w:val="32"/>
        </w:rPr>
      </w:pPr>
      <w:r>
        <w:rPr>
          <w:rFonts w:hint="eastAsia" w:ascii="Times New Roman" w:hAnsi="Times New Roman"/>
          <w:b/>
          <w:bCs/>
          <w:w w:val="95"/>
          <w:sz w:val="32"/>
        </w:rPr>
        <w:t xml:space="preserve">      </w:t>
      </w:r>
      <w:r>
        <w:rPr>
          <w:rFonts w:ascii="Times New Roman" w:hAnsi="Times New Roman"/>
          <w:b/>
          <w:bCs/>
          <w:w w:val="95"/>
          <w:sz w:val="32"/>
        </w:rPr>
        <w:t>年</w:t>
      </w:r>
      <w:r>
        <w:rPr>
          <w:rFonts w:hint="eastAsia" w:ascii="Times New Roman" w:hAnsi="Times New Roman"/>
          <w:b/>
          <w:bCs/>
          <w:w w:val="95"/>
          <w:sz w:val="32"/>
        </w:rPr>
        <w:t xml:space="preserve">    </w:t>
      </w:r>
      <w:r>
        <w:rPr>
          <w:rFonts w:ascii="Times New Roman" w:hAnsi="Times New Roman"/>
          <w:b/>
          <w:bCs/>
          <w:w w:val="95"/>
          <w:sz w:val="32"/>
        </w:rPr>
        <w:t>月</w:t>
      </w:r>
    </w:p>
    <w:p w14:paraId="41C72468">
      <w:pPr>
        <w:widowControl/>
        <w:spacing w:after="150" w:line="400" w:lineRule="exact"/>
        <w:textAlignment w:val="baseline"/>
        <w:rPr>
          <w:rFonts w:hint="eastAsia" w:ascii="宋体" w:hAnsi="宋体" w:cs="宋体"/>
          <w:kern w:val="0"/>
          <w:sz w:val="24"/>
        </w:rPr>
      </w:pPr>
      <w:r>
        <w:rPr>
          <w:rFonts w:hint="eastAsia" w:ascii="宋体" w:hAnsi="宋体" w:cs="宋体"/>
          <w:kern w:val="0"/>
          <w:sz w:val="24"/>
        </w:rPr>
        <w:br w:type="page"/>
      </w:r>
    </w:p>
    <w:p w14:paraId="0FCC765C">
      <w:pPr>
        <w:spacing w:line="1000" w:lineRule="exact"/>
        <w:jc w:val="center"/>
        <w:rPr>
          <w:b/>
          <w:i/>
          <w:iCs/>
          <w:color w:val="C00000"/>
          <w:sz w:val="44"/>
          <w:szCs w:val="44"/>
          <w:u w:val="double"/>
        </w:rPr>
      </w:pPr>
      <w:r>
        <w:rPr>
          <w:rFonts w:hint="eastAsia"/>
          <w:b/>
          <w:i/>
          <w:iCs/>
          <w:color w:val="C00000"/>
          <w:sz w:val="44"/>
          <w:szCs w:val="44"/>
          <w:u w:val="double"/>
        </w:rPr>
        <w:t>（本页无须打印）</w:t>
      </w:r>
    </w:p>
    <w:p w14:paraId="31E57353">
      <w:pPr>
        <w:pStyle w:val="43"/>
        <w:spacing w:beforeLines="0" w:afterLines="0" w:line="520" w:lineRule="exact"/>
        <w:ind w:firstLine="618" w:firstLineChars="221"/>
        <w:rPr>
          <w:rFonts w:hint="eastAsia" w:cs="Times New Roman"/>
          <w:bCs w:val="0"/>
          <w:color w:val="C00000"/>
          <w:lang w:eastAsia="zh-CN"/>
        </w:rPr>
      </w:pPr>
      <w:r>
        <w:rPr>
          <w:rFonts w:hint="eastAsia" w:cs="Times New Roman"/>
          <w:bCs w:val="0"/>
          <w:color w:val="C00000"/>
          <w:lang w:eastAsia="zh-CN"/>
        </w:rPr>
        <w:t>1．参选人应按规定，向比选人递交参选文件，正本一份、副本一份，当正本与副本有不一致时，以正本为准。</w:t>
      </w:r>
    </w:p>
    <w:p w14:paraId="4A861111">
      <w:pPr>
        <w:pStyle w:val="43"/>
        <w:spacing w:beforeLines="0" w:afterLines="0" w:line="520" w:lineRule="exact"/>
        <w:ind w:firstLine="618" w:firstLineChars="221"/>
        <w:rPr>
          <w:rFonts w:hint="eastAsia" w:cs="Times New Roman"/>
          <w:bCs w:val="0"/>
          <w:color w:val="C00000"/>
          <w:lang w:eastAsia="zh-CN"/>
        </w:rPr>
      </w:pPr>
      <w:r>
        <w:rPr>
          <w:rFonts w:hint="eastAsia" w:cs="Times New Roman"/>
          <w:bCs w:val="0"/>
          <w:color w:val="C00000"/>
          <w:lang w:eastAsia="zh-CN"/>
        </w:rPr>
        <w:t>2.所有纸质文件采用</w:t>
      </w:r>
      <w:r>
        <w:rPr>
          <w:rFonts w:cs="Times New Roman"/>
          <w:bCs w:val="0"/>
          <w:color w:val="C00000"/>
          <w:lang w:eastAsia="zh-CN"/>
        </w:rPr>
        <w:t>A4</w:t>
      </w:r>
      <w:r>
        <w:rPr>
          <w:rFonts w:hint="eastAsia" w:cs="Times New Roman"/>
          <w:bCs w:val="0"/>
          <w:color w:val="C00000"/>
          <w:lang w:eastAsia="zh-CN"/>
        </w:rPr>
        <w:t>纸胶装、平装。所有参选文件应增加统一外层包封。</w:t>
      </w:r>
    </w:p>
    <w:p w14:paraId="144991D2">
      <w:pPr>
        <w:pStyle w:val="43"/>
        <w:spacing w:beforeLines="0" w:afterLines="0" w:line="520" w:lineRule="exact"/>
        <w:ind w:firstLine="618" w:firstLineChars="221"/>
        <w:rPr>
          <w:rFonts w:hint="eastAsia" w:cs="Times New Roman"/>
          <w:bCs w:val="0"/>
          <w:color w:val="C00000"/>
          <w:lang w:eastAsia="zh-CN"/>
        </w:rPr>
      </w:pPr>
      <w:r>
        <w:rPr>
          <w:rFonts w:hint="eastAsia" w:cs="Times New Roman"/>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hint="eastAsia" w:cs="Times New Roman"/>
          <w:bCs w:val="0"/>
          <w:color w:val="C00000"/>
          <w:lang w:eastAsia="zh-CN"/>
        </w:rPr>
        <w:t>封口处均需加盖骑缝章。商务参选文件和技术参选文件电子拷贝一份（随商务参选文件包装）。</w:t>
      </w:r>
    </w:p>
    <w:p w14:paraId="656BD431">
      <w:pPr>
        <w:pStyle w:val="43"/>
        <w:spacing w:beforeLines="0" w:afterLines="0" w:line="520" w:lineRule="exact"/>
        <w:ind w:firstLine="618" w:firstLineChars="221"/>
        <w:rPr>
          <w:rFonts w:hint="eastAsia" w:cs="Times New Roman"/>
          <w:bCs w:val="0"/>
          <w:color w:val="C00000"/>
          <w:lang w:eastAsia="zh-CN"/>
        </w:rPr>
      </w:pPr>
      <w:r>
        <w:rPr>
          <w:rFonts w:hint="eastAsia" w:cs="Times New Roman"/>
          <w:bCs w:val="0"/>
          <w:color w:val="C00000"/>
          <w:lang w:eastAsia="zh-CN"/>
        </w:rPr>
        <w:t>4.凡因参选文件不按规定填写，或填写不清晰、不完整、或密封不合要求而引起的一切后果，由参选人自行负责。</w:t>
      </w:r>
    </w:p>
    <w:p w14:paraId="74B850C3">
      <w:pPr>
        <w:pStyle w:val="43"/>
        <w:spacing w:beforeLines="0" w:afterLines="0" w:line="520" w:lineRule="exact"/>
        <w:ind w:firstLine="618" w:firstLineChars="221"/>
        <w:rPr>
          <w:rFonts w:hint="eastAsia" w:cs="Times New Roman"/>
          <w:bCs w:val="0"/>
          <w:color w:val="C00000"/>
          <w:lang w:eastAsia="zh-CN"/>
        </w:rPr>
      </w:pPr>
      <w:r>
        <w:rPr>
          <w:rFonts w:hint="eastAsia" w:cs="Times New Roman"/>
          <w:bCs w:val="0"/>
          <w:color w:val="C00000"/>
          <w:lang w:eastAsia="zh-CN"/>
        </w:rPr>
        <w:t>5.参选文件正本必须逐页或骑缝加盖参选人公章或由法人代表或法人代表授权人逐页签字方视为有效，同时应注明提交日期，否则视为废标。</w:t>
      </w:r>
    </w:p>
    <w:p w14:paraId="5DFF376F">
      <w:pPr>
        <w:pStyle w:val="43"/>
        <w:spacing w:beforeLines="0" w:afterLines="0" w:line="520" w:lineRule="exact"/>
        <w:ind w:firstLine="618" w:firstLineChars="221"/>
        <w:rPr>
          <w:rFonts w:hint="eastAsia" w:cs="Times New Roman"/>
          <w:bCs w:val="0"/>
          <w:color w:val="C00000"/>
          <w:lang w:eastAsia="zh-CN"/>
        </w:rPr>
      </w:pPr>
      <w:r>
        <w:rPr>
          <w:rFonts w:hint="eastAsia" w:cs="Times New Roman"/>
          <w:bCs w:val="0"/>
          <w:color w:val="C00000"/>
          <w:lang w:eastAsia="zh-CN"/>
        </w:rPr>
        <w:t>6.在外层包封上应写明参选人的名称与地址、邮政编码，以便参选出现逾期送达时能原封退回。具体样式如下：</w:t>
      </w:r>
    </w:p>
    <w:p w14:paraId="22FE7B10">
      <w:pPr>
        <w:spacing w:line="520" w:lineRule="exact"/>
        <w:rPr>
          <w:szCs w:val="21"/>
        </w:rPr>
      </w:pPr>
      <w:r>
        <w:rPr>
          <w:rFonts w:ascii="Calibri"/>
        </w:rPr>
        <mc:AlternateContent>
          <mc:Choice Requires="wps">
            <w:drawing>
              <wp:anchor distT="0" distB="0" distL="114300" distR="114300" simplePos="0" relativeHeight="251659264" behindDoc="0" locked="0" layoutInCell="1" allowOverlap="1">
                <wp:simplePos x="0" y="0"/>
                <wp:positionH relativeFrom="column">
                  <wp:posOffset>509270</wp:posOffset>
                </wp:positionH>
                <wp:positionV relativeFrom="paragraph">
                  <wp:posOffset>95250</wp:posOffset>
                </wp:positionV>
                <wp:extent cx="5007610" cy="1714500"/>
                <wp:effectExtent l="0" t="0" r="22225" b="1905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007429" cy="1714500"/>
                        </a:xfrm>
                        <a:prstGeom prst="rect">
                          <a:avLst/>
                        </a:prstGeom>
                        <a:solidFill>
                          <a:srgbClr val="FFFFFF"/>
                        </a:solidFill>
                        <a:ln w="9525">
                          <a:solidFill>
                            <a:srgbClr val="000000"/>
                          </a:solidFill>
                          <a:miter lim="800000"/>
                        </a:ln>
                      </wps:spPr>
                      <wps:txbx>
                        <w:txbxContent>
                          <w:p w14:paraId="29F0B606">
                            <w:pPr>
                              <w:rPr>
                                <w:rFonts w:cs="Arial"/>
                                <w:sz w:val="24"/>
                                <w:u w:val="single"/>
                              </w:rPr>
                            </w:pPr>
                            <w:permStart w:id="0" w:edGrp="everyone"/>
                            <w:r>
                              <w:rPr>
                                <w:rFonts w:hint="eastAsia" w:cs="Arial"/>
                                <w:sz w:val="24"/>
                              </w:rPr>
                              <w:t>比选项目：</w:t>
                            </w:r>
                            <w:r>
                              <w:rPr>
                                <w:rFonts w:cs="Arial"/>
                                <w:sz w:val="24"/>
                                <w:u w:val="single"/>
                              </w:rPr>
                              <w:t xml:space="preserve">                                      </w:t>
                            </w:r>
                          </w:p>
                          <w:p w14:paraId="1283D122">
                            <w:pPr>
                              <w:rPr>
                                <w:rFonts w:cs="Arial"/>
                                <w:sz w:val="24"/>
                                <w:u w:val="single"/>
                              </w:rPr>
                            </w:pPr>
                            <w:r>
                              <w:rPr>
                                <w:rFonts w:hint="eastAsia" w:cs="Arial"/>
                                <w:sz w:val="24"/>
                              </w:rPr>
                              <w:t>比选人名称：</w:t>
                            </w:r>
                            <w:r>
                              <w:rPr>
                                <w:rFonts w:cs="Arial"/>
                                <w:sz w:val="24"/>
                                <w:u w:val="single"/>
                              </w:rPr>
                              <w:t xml:space="preserve">                                    </w:t>
                            </w:r>
                          </w:p>
                          <w:p w14:paraId="65FACDBB">
                            <w:pPr>
                              <w:rPr>
                                <w:rFonts w:cs="Arial"/>
                                <w:sz w:val="24"/>
                              </w:rPr>
                            </w:pPr>
                            <w:r>
                              <w:rPr>
                                <w:rFonts w:hint="eastAsia" w:cs="Arial"/>
                                <w:sz w:val="24"/>
                              </w:rPr>
                              <w:t>本文件于</w:t>
                            </w:r>
                            <w:r>
                              <w:rPr>
                                <w:rFonts w:cs="Arial"/>
                                <w:sz w:val="24"/>
                                <w:u w:val="single"/>
                              </w:rPr>
                              <w:t xml:space="preserve">  </w:t>
                            </w:r>
                            <w:r>
                              <w:rPr>
                                <w:rFonts w:hint="eastAsia" w:cs="Arial"/>
                                <w:sz w:val="24"/>
                              </w:rPr>
                              <w:t>年</w:t>
                            </w:r>
                            <w:r>
                              <w:rPr>
                                <w:rFonts w:cs="Arial"/>
                                <w:sz w:val="24"/>
                                <w:u w:val="single"/>
                              </w:rPr>
                              <w:t xml:space="preserve">  </w:t>
                            </w:r>
                            <w:r>
                              <w:rPr>
                                <w:rFonts w:hint="eastAsia" w:cs="Arial"/>
                                <w:sz w:val="24"/>
                              </w:rPr>
                              <w:t>月</w:t>
                            </w:r>
                            <w:r>
                              <w:rPr>
                                <w:rFonts w:cs="Arial"/>
                                <w:sz w:val="24"/>
                                <w:u w:val="single"/>
                              </w:rPr>
                              <w:t xml:space="preserve">  </w:t>
                            </w:r>
                            <w:r>
                              <w:rPr>
                                <w:rFonts w:hint="eastAsia" w:cs="Arial"/>
                                <w:sz w:val="24"/>
                              </w:rPr>
                              <w:t>日</w:t>
                            </w:r>
                            <w:r>
                              <w:rPr>
                                <w:rFonts w:cs="Arial"/>
                                <w:sz w:val="24"/>
                                <w:u w:val="single"/>
                              </w:rPr>
                              <w:t xml:space="preserve">  </w:t>
                            </w:r>
                            <w:r>
                              <w:rPr>
                                <w:rFonts w:hint="eastAsia" w:cs="Arial"/>
                                <w:sz w:val="24"/>
                              </w:rPr>
                              <w:t>点</w:t>
                            </w:r>
                            <w:r>
                              <w:rPr>
                                <w:rFonts w:cs="Arial"/>
                                <w:sz w:val="24"/>
                                <w:u w:val="single"/>
                              </w:rPr>
                              <w:t xml:space="preserve">  </w:t>
                            </w:r>
                            <w:r>
                              <w:rPr>
                                <w:rFonts w:hint="eastAsia" w:cs="Arial"/>
                                <w:sz w:val="24"/>
                              </w:rPr>
                              <w:t>分（北京时间）（开标时间）前不得开封此文件</w:t>
                            </w:r>
                          </w:p>
                          <w:p w14:paraId="61B36A9B">
                            <w:pPr>
                              <w:rPr>
                                <w:rFonts w:cs="Arial"/>
                                <w:sz w:val="24"/>
                              </w:rPr>
                            </w:pPr>
                            <w:r>
                              <w:rPr>
                                <w:rFonts w:hint="eastAsia" w:cs="Arial"/>
                                <w:sz w:val="24"/>
                              </w:rPr>
                              <w:t>参选人名称：</w:t>
                            </w:r>
                            <w:r>
                              <w:rPr>
                                <w:rFonts w:cs="Arial"/>
                                <w:sz w:val="24"/>
                                <w:u w:val="single"/>
                              </w:rPr>
                              <w:t xml:space="preserve">                      </w:t>
                            </w:r>
                            <w:r>
                              <w:rPr>
                                <w:rFonts w:hint="eastAsia" w:cs="Arial"/>
                                <w:sz w:val="24"/>
                              </w:rPr>
                              <w:t>（公章）</w:t>
                            </w:r>
                          </w:p>
                          <w:p w14:paraId="3B0D96D3">
                            <w:pPr>
                              <w:rPr>
                                <w:rFonts w:cs="Arial"/>
                                <w:sz w:val="24"/>
                                <w:u w:val="single"/>
                              </w:rPr>
                            </w:pPr>
                            <w:r>
                              <w:rPr>
                                <w:rFonts w:hint="eastAsia" w:cs="Arial"/>
                                <w:sz w:val="24"/>
                              </w:rPr>
                              <w:t>参选人地址、邮编：</w:t>
                            </w:r>
                            <w:r>
                              <w:rPr>
                                <w:rFonts w:cs="Arial"/>
                                <w:sz w:val="24"/>
                                <w:u w:val="single"/>
                              </w:rPr>
                              <w:t xml:space="preserve">                         </w:t>
                            </w:r>
                          </w:p>
                          <w:p w14:paraId="135FE051">
                            <w:pPr>
                              <w:rPr>
                                <w:rFonts w:cs="Arial"/>
                                <w:sz w:val="24"/>
                                <w:u w:val="single"/>
                              </w:rPr>
                            </w:pPr>
                            <w:r>
                              <w:rPr>
                                <w:rFonts w:hint="eastAsia" w:cs="Arial"/>
                                <w:sz w:val="24"/>
                              </w:rPr>
                              <w:t>封装文件内容：</w:t>
                            </w:r>
                            <w:r>
                              <w:rPr>
                                <w:rFonts w:cs="Arial"/>
                                <w:sz w:val="24"/>
                                <w:u w:val="single"/>
                              </w:rPr>
                              <w:t xml:space="preserve">                             </w:t>
                            </w:r>
                          </w:p>
                          <w:p w14:paraId="602D37B9">
                            <w:pPr>
                              <w:rPr>
                                <w:sz w:val="24"/>
                              </w:rPr>
                            </w:pPr>
                            <w:r>
                              <w:rPr>
                                <w:rFonts w:hint="eastAsia" w:cs="Arial"/>
                                <w:sz w:val="24"/>
                              </w:rPr>
                              <w:t>参选人联系人及联系电话：</w:t>
                            </w:r>
                            <w:r>
                              <w:rPr>
                                <w:rFonts w:cs="Arial"/>
                                <w:sz w:val="24"/>
                                <w:u w:val="single"/>
                              </w:rPr>
                              <w:t xml:space="preserve">                   </w:t>
                            </w:r>
                            <w:permEnd w:id="0"/>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0.1pt;margin-top:7.5pt;height:135pt;width:394.3pt;z-index:251659264;mso-width-relative:page;mso-height-relative:page;" fillcolor="#FFFFFF" filled="t" stroked="t" coordsize="21600,21600" o:gfxdata="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&#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LQZJz1gAAAAkBAAAPAAAAAAAAAAEAIAAAACIAAABk&#10;cnMvZG93bnJldi54bWxQSwECFAAUAAAACACHTuJAmy4AakECAACIBAAADgAAAAAAAAABACAAAAAl&#10;AQAAZHJzL2Uyb0RvYy54bWxQSwUGAAAAAAYABgBZAQAA2AUAAAAA&#10;">
                <v:fill on="t" focussize="0,0"/>
                <v:stroke color="#000000" miterlimit="8" joinstyle="miter"/>
                <v:imagedata o:title=""/>
                <o:lock v:ext="edit" aspectratio="f"/>
                <v:textbox>
                  <w:txbxContent>
                    <w:p w14:paraId="29F0B606">
                      <w:pPr>
                        <w:rPr>
                          <w:rFonts w:cs="Arial"/>
                          <w:sz w:val="24"/>
                          <w:u w:val="single"/>
                        </w:rPr>
                      </w:pPr>
                      <w:permStart w:id="0" w:edGrp="everyone"/>
                      <w:r>
                        <w:rPr>
                          <w:rFonts w:hint="eastAsia" w:cs="Arial"/>
                          <w:sz w:val="24"/>
                        </w:rPr>
                        <w:t>比选项目：</w:t>
                      </w:r>
                      <w:r>
                        <w:rPr>
                          <w:rFonts w:cs="Arial"/>
                          <w:sz w:val="24"/>
                          <w:u w:val="single"/>
                        </w:rPr>
                        <w:t xml:space="preserve">                                      </w:t>
                      </w:r>
                    </w:p>
                    <w:p w14:paraId="1283D122">
                      <w:pPr>
                        <w:rPr>
                          <w:rFonts w:cs="Arial"/>
                          <w:sz w:val="24"/>
                          <w:u w:val="single"/>
                        </w:rPr>
                      </w:pPr>
                      <w:r>
                        <w:rPr>
                          <w:rFonts w:hint="eastAsia" w:cs="Arial"/>
                          <w:sz w:val="24"/>
                        </w:rPr>
                        <w:t>比选人名称：</w:t>
                      </w:r>
                      <w:r>
                        <w:rPr>
                          <w:rFonts w:cs="Arial"/>
                          <w:sz w:val="24"/>
                          <w:u w:val="single"/>
                        </w:rPr>
                        <w:t xml:space="preserve">                                    </w:t>
                      </w:r>
                    </w:p>
                    <w:p w14:paraId="65FACDBB">
                      <w:pPr>
                        <w:rPr>
                          <w:rFonts w:cs="Arial"/>
                          <w:sz w:val="24"/>
                        </w:rPr>
                      </w:pPr>
                      <w:r>
                        <w:rPr>
                          <w:rFonts w:hint="eastAsia" w:cs="Arial"/>
                          <w:sz w:val="24"/>
                        </w:rPr>
                        <w:t>本文件于</w:t>
                      </w:r>
                      <w:r>
                        <w:rPr>
                          <w:rFonts w:cs="Arial"/>
                          <w:sz w:val="24"/>
                          <w:u w:val="single"/>
                        </w:rPr>
                        <w:t xml:space="preserve">  </w:t>
                      </w:r>
                      <w:r>
                        <w:rPr>
                          <w:rFonts w:hint="eastAsia" w:cs="Arial"/>
                          <w:sz w:val="24"/>
                        </w:rPr>
                        <w:t>年</w:t>
                      </w:r>
                      <w:r>
                        <w:rPr>
                          <w:rFonts w:cs="Arial"/>
                          <w:sz w:val="24"/>
                          <w:u w:val="single"/>
                        </w:rPr>
                        <w:t xml:space="preserve">  </w:t>
                      </w:r>
                      <w:r>
                        <w:rPr>
                          <w:rFonts w:hint="eastAsia" w:cs="Arial"/>
                          <w:sz w:val="24"/>
                        </w:rPr>
                        <w:t>月</w:t>
                      </w:r>
                      <w:r>
                        <w:rPr>
                          <w:rFonts w:cs="Arial"/>
                          <w:sz w:val="24"/>
                          <w:u w:val="single"/>
                        </w:rPr>
                        <w:t xml:space="preserve">  </w:t>
                      </w:r>
                      <w:r>
                        <w:rPr>
                          <w:rFonts w:hint="eastAsia" w:cs="Arial"/>
                          <w:sz w:val="24"/>
                        </w:rPr>
                        <w:t>日</w:t>
                      </w:r>
                      <w:r>
                        <w:rPr>
                          <w:rFonts w:cs="Arial"/>
                          <w:sz w:val="24"/>
                          <w:u w:val="single"/>
                        </w:rPr>
                        <w:t xml:space="preserve">  </w:t>
                      </w:r>
                      <w:r>
                        <w:rPr>
                          <w:rFonts w:hint="eastAsia" w:cs="Arial"/>
                          <w:sz w:val="24"/>
                        </w:rPr>
                        <w:t>点</w:t>
                      </w:r>
                      <w:r>
                        <w:rPr>
                          <w:rFonts w:cs="Arial"/>
                          <w:sz w:val="24"/>
                          <w:u w:val="single"/>
                        </w:rPr>
                        <w:t xml:space="preserve">  </w:t>
                      </w:r>
                      <w:r>
                        <w:rPr>
                          <w:rFonts w:hint="eastAsia" w:cs="Arial"/>
                          <w:sz w:val="24"/>
                        </w:rPr>
                        <w:t>分（北京时间）（开标时间）前不得开封此文件</w:t>
                      </w:r>
                    </w:p>
                    <w:p w14:paraId="61B36A9B">
                      <w:pPr>
                        <w:rPr>
                          <w:rFonts w:cs="Arial"/>
                          <w:sz w:val="24"/>
                        </w:rPr>
                      </w:pPr>
                      <w:r>
                        <w:rPr>
                          <w:rFonts w:hint="eastAsia" w:cs="Arial"/>
                          <w:sz w:val="24"/>
                        </w:rPr>
                        <w:t>参选人名称：</w:t>
                      </w:r>
                      <w:r>
                        <w:rPr>
                          <w:rFonts w:cs="Arial"/>
                          <w:sz w:val="24"/>
                          <w:u w:val="single"/>
                        </w:rPr>
                        <w:t xml:space="preserve">                      </w:t>
                      </w:r>
                      <w:r>
                        <w:rPr>
                          <w:rFonts w:hint="eastAsia" w:cs="Arial"/>
                          <w:sz w:val="24"/>
                        </w:rPr>
                        <w:t>（公章）</w:t>
                      </w:r>
                    </w:p>
                    <w:p w14:paraId="3B0D96D3">
                      <w:pPr>
                        <w:rPr>
                          <w:rFonts w:cs="Arial"/>
                          <w:sz w:val="24"/>
                          <w:u w:val="single"/>
                        </w:rPr>
                      </w:pPr>
                      <w:r>
                        <w:rPr>
                          <w:rFonts w:hint="eastAsia" w:cs="Arial"/>
                          <w:sz w:val="24"/>
                        </w:rPr>
                        <w:t>参选人地址、邮编：</w:t>
                      </w:r>
                      <w:r>
                        <w:rPr>
                          <w:rFonts w:cs="Arial"/>
                          <w:sz w:val="24"/>
                          <w:u w:val="single"/>
                        </w:rPr>
                        <w:t xml:space="preserve">                         </w:t>
                      </w:r>
                    </w:p>
                    <w:p w14:paraId="135FE051">
                      <w:pPr>
                        <w:rPr>
                          <w:rFonts w:cs="Arial"/>
                          <w:sz w:val="24"/>
                          <w:u w:val="single"/>
                        </w:rPr>
                      </w:pPr>
                      <w:r>
                        <w:rPr>
                          <w:rFonts w:hint="eastAsia" w:cs="Arial"/>
                          <w:sz w:val="24"/>
                        </w:rPr>
                        <w:t>封装文件内容：</w:t>
                      </w:r>
                      <w:r>
                        <w:rPr>
                          <w:rFonts w:cs="Arial"/>
                          <w:sz w:val="24"/>
                          <w:u w:val="single"/>
                        </w:rPr>
                        <w:t xml:space="preserve">                             </w:t>
                      </w:r>
                    </w:p>
                    <w:p w14:paraId="602D37B9">
                      <w:pPr>
                        <w:rPr>
                          <w:sz w:val="24"/>
                        </w:rPr>
                      </w:pPr>
                      <w:r>
                        <w:rPr>
                          <w:rFonts w:hint="eastAsia" w:cs="Arial"/>
                          <w:sz w:val="24"/>
                        </w:rPr>
                        <w:t>参选人联系人及联系电话：</w:t>
                      </w:r>
                      <w:r>
                        <w:rPr>
                          <w:rFonts w:cs="Arial"/>
                          <w:sz w:val="24"/>
                          <w:u w:val="single"/>
                        </w:rPr>
                        <w:t xml:space="preserve">                   </w:t>
                      </w:r>
                      <w:permEnd w:id="0"/>
                    </w:p>
                  </w:txbxContent>
                </v:textbox>
              </v:shape>
            </w:pict>
          </mc:Fallback>
        </mc:AlternateContent>
      </w:r>
    </w:p>
    <w:p w14:paraId="17C3D135">
      <w:pPr>
        <w:spacing w:line="520" w:lineRule="exact"/>
        <w:rPr>
          <w:szCs w:val="21"/>
        </w:rPr>
      </w:pPr>
    </w:p>
    <w:p w14:paraId="4E3DA12A">
      <w:pPr>
        <w:spacing w:line="520" w:lineRule="exact"/>
        <w:rPr>
          <w:szCs w:val="21"/>
        </w:rPr>
      </w:pPr>
    </w:p>
    <w:p w14:paraId="2D5CA9F7">
      <w:pPr>
        <w:spacing w:line="520" w:lineRule="exact"/>
        <w:rPr>
          <w:szCs w:val="21"/>
        </w:rPr>
      </w:pPr>
    </w:p>
    <w:p w14:paraId="56F13D2C">
      <w:pPr>
        <w:pStyle w:val="43"/>
        <w:spacing w:beforeLines="0" w:afterLines="0" w:line="520" w:lineRule="exact"/>
        <w:ind w:firstLine="0" w:firstLineChars="0"/>
        <w:rPr>
          <w:rFonts w:asciiTheme="minorHAnsi" w:hAnsiTheme="minorHAnsi" w:eastAsiaTheme="minorEastAsia" w:cstheme="minorBidi"/>
          <w:bCs w:val="0"/>
          <w:kern w:val="2"/>
          <w:sz w:val="21"/>
          <w:szCs w:val="21"/>
          <w:lang w:eastAsia="zh-CN"/>
        </w:rPr>
      </w:pPr>
    </w:p>
    <w:p w14:paraId="7FC4B605">
      <w:pPr>
        <w:pStyle w:val="43"/>
        <w:spacing w:beforeLines="0" w:afterLines="0" w:line="520" w:lineRule="exact"/>
        <w:ind w:firstLine="0" w:firstLineChars="0"/>
        <w:rPr>
          <w:rFonts w:hint="eastAsia" w:cs="Times New Roman"/>
          <w:bCs w:val="0"/>
          <w:color w:val="C00000"/>
          <w:lang w:eastAsia="zh-CN"/>
        </w:rPr>
      </w:pPr>
    </w:p>
    <w:p w14:paraId="3887D361">
      <w:pPr>
        <w:pStyle w:val="43"/>
        <w:spacing w:beforeLines="0" w:afterLines="0" w:line="520" w:lineRule="exact"/>
        <w:ind w:firstLine="618" w:firstLineChars="221"/>
        <w:rPr>
          <w:rFonts w:hint="eastAsia" w:cs="Times New Roman"/>
          <w:bCs w:val="0"/>
          <w:color w:val="C00000"/>
          <w:lang w:eastAsia="zh-CN"/>
        </w:rPr>
      </w:pPr>
      <w:r>
        <w:rPr>
          <w:rFonts w:hint="eastAsia" w:cs="Times New Roman"/>
          <w:bCs w:val="0"/>
          <w:color w:val="C00000"/>
          <w:lang w:eastAsia="zh-CN"/>
        </w:rPr>
        <w:t>7、以下文件中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14:paraId="4DC509ED">
      <w:pPr>
        <w:pStyle w:val="43"/>
        <w:spacing w:beforeLines="0" w:afterLines="0" w:line="520" w:lineRule="exact"/>
        <w:ind w:firstLine="618" w:firstLineChars="221"/>
        <w:rPr>
          <w:rFonts w:hint="eastAsia" w:cs="Times New Roman"/>
          <w:color w:val="C00000"/>
          <w:lang w:eastAsia="zh-CN"/>
        </w:rPr>
      </w:pPr>
      <w:r>
        <w:rPr>
          <w:rFonts w:hint="eastAsia" w:cs="Times New Roman"/>
          <w:color w:val="C00000"/>
          <w:lang w:eastAsia="zh-CN"/>
        </w:rPr>
        <w:t>8、以下文件中红色字体部分，打印时请删除。</w:t>
      </w:r>
    </w:p>
    <w:p w14:paraId="1B1AB333">
      <w:pPr>
        <w:widowControl/>
        <w:spacing w:after="150" w:line="400" w:lineRule="exact"/>
        <w:textAlignment w:val="baseline"/>
        <w:rPr>
          <w:rFonts w:hint="eastAsia" w:ascii="宋体" w:hAnsi="宋体" w:cs="宋体"/>
          <w:kern w:val="0"/>
          <w:sz w:val="24"/>
        </w:rPr>
      </w:pPr>
      <w:r>
        <w:rPr>
          <w:rFonts w:hint="eastAsia" w:ascii="宋体" w:hAnsi="宋体" w:cs="宋体"/>
          <w:kern w:val="0"/>
          <w:sz w:val="24"/>
        </w:rPr>
        <w:br w:type="page"/>
      </w:r>
    </w:p>
    <w:p w14:paraId="6A5966CB">
      <w:pPr>
        <w:spacing w:line="1000" w:lineRule="exact"/>
        <w:jc w:val="center"/>
        <w:rPr>
          <w:b/>
          <w:sz w:val="44"/>
          <w:szCs w:val="44"/>
        </w:rPr>
      </w:pPr>
      <w:r>
        <w:rPr>
          <w:rFonts w:hint="eastAsia"/>
          <w:b/>
          <w:sz w:val="44"/>
          <w:szCs w:val="44"/>
        </w:rPr>
        <w:t>目</w:t>
      </w:r>
      <w:r>
        <w:rPr>
          <w:rFonts w:hint="eastAsia"/>
          <w:b/>
          <w:sz w:val="44"/>
          <w:szCs w:val="44"/>
        </w:rPr>
        <w:tab/>
      </w:r>
      <w:r>
        <w:rPr>
          <w:rFonts w:hint="eastAsia"/>
          <w:b/>
          <w:sz w:val="44"/>
          <w:szCs w:val="44"/>
        </w:rPr>
        <w:t>录</w:t>
      </w:r>
    </w:p>
    <w:tbl>
      <w:tblPr>
        <w:tblStyle w:val="20"/>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4836"/>
        <w:gridCol w:w="1985"/>
        <w:gridCol w:w="1842"/>
      </w:tblGrid>
      <w:tr w14:paraId="3488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center"/>
          </w:tcPr>
          <w:p w14:paraId="02C96D97">
            <w:pPr>
              <w:spacing w:line="500" w:lineRule="exact"/>
              <w:jc w:val="center"/>
              <w:rPr>
                <w:rFonts w:eastAsia="黑体"/>
                <w:b/>
                <w:bCs/>
                <w:sz w:val="24"/>
              </w:rPr>
            </w:pPr>
            <w:r>
              <w:rPr>
                <w:rFonts w:eastAsia="黑体"/>
                <w:b/>
                <w:bCs/>
                <w:sz w:val="24"/>
              </w:rPr>
              <w:t>序号</w:t>
            </w:r>
          </w:p>
        </w:tc>
        <w:tc>
          <w:tcPr>
            <w:tcW w:w="4836" w:type="dxa"/>
            <w:vAlign w:val="center"/>
          </w:tcPr>
          <w:p w14:paraId="047DE64B">
            <w:pPr>
              <w:spacing w:line="500" w:lineRule="exact"/>
              <w:jc w:val="center"/>
              <w:rPr>
                <w:rFonts w:eastAsia="黑体"/>
                <w:b/>
                <w:bCs/>
                <w:sz w:val="24"/>
              </w:rPr>
            </w:pPr>
            <w:r>
              <w:rPr>
                <w:rFonts w:eastAsia="黑体"/>
                <w:b/>
                <w:bCs/>
                <w:sz w:val="24"/>
              </w:rPr>
              <w:t>内容</w:t>
            </w:r>
          </w:p>
        </w:tc>
        <w:tc>
          <w:tcPr>
            <w:tcW w:w="1985" w:type="dxa"/>
            <w:vAlign w:val="center"/>
          </w:tcPr>
          <w:p w14:paraId="6CF873B5">
            <w:pPr>
              <w:spacing w:line="500" w:lineRule="exact"/>
              <w:jc w:val="center"/>
              <w:rPr>
                <w:rFonts w:eastAsia="黑体"/>
                <w:b/>
                <w:bCs/>
                <w:sz w:val="24"/>
              </w:rPr>
            </w:pPr>
            <w:r>
              <w:rPr>
                <w:rFonts w:eastAsia="黑体"/>
                <w:b/>
                <w:bCs/>
                <w:sz w:val="24"/>
              </w:rPr>
              <w:t>类别</w:t>
            </w:r>
          </w:p>
        </w:tc>
        <w:tc>
          <w:tcPr>
            <w:tcW w:w="1842" w:type="dxa"/>
            <w:vAlign w:val="center"/>
          </w:tcPr>
          <w:p w14:paraId="127BDAE3">
            <w:pPr>
              <w:spacing w:line="500" w:lineRule="exact"/>
              <w:jc w:val="center"/>
              <w:rPr>
                <w:rFonts w:eastAsia="黑体"/>
                <w:b/>
                <w:bCs/>
                <w:sz w:val="24"/>
              </w:rPr>
            </w:pPr>
            <w:r>
              <w:rPr>
                <w:rFonts w:eastAsia="黑体"/>
                <w:b/>
                <w:bCs/>
                <w:sz w:val="24"/>
              </w:rPr>
              <w:t>页码</w:t>
            </w:r>
          </w:p>
        </w:tc>
      </w:tr>
      <w:tr w14:paraId="3D13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center"/>
          </w:tcPr>
          <w:p w14:paraId="045E0A66">
            <w:pPr>
              <w:spacing w:line="500" w:lineRule="exact"/>
              <w:jc w:val="center"/>
              <w:rPr>
                <w:rFonts w:eastAsia="黑体"/>
                <w:sz w:val="24"/>
              </w:rPr>
            </w:pPr>
            <w:r>
              <w:rPr>
                <w:rFonts w:eastAsia="黑体"/>
                <w:sz w:val="24"/>
              </w:rPr>
              <w:t>1</w:t>
            </w:r>
          </w:p>
        </w:tc>
        <w:tc>
          <w:tcPr>
            <w:tcW w:w="4836" w:type="dxa"/>
            <w:vAlign w:val="center"/>
          </w:tcPr>
          <w:p w14:paraId="26C197CA">
            <w:pPr>
              <w:spacing w:line="500" w:lineRule="exact"/>
              <w:rPr>
                <w:rFonts w:eastAsia="黑体"/>
                <w:sz w:val="24"/>
              </w:rPr>
            </w:pPr>
            <w:r>
              <w:rPr>
                <w:rFonts w:eastAsia="黑体"/>
                <w:sz w:val="24"/>
              </w:rPr>
              <w:t>比选一览表</w:t>
            </w:r>
          </w:p>
        </w:tc>
        <w:tc>
          <w:tcPr>
            <w:tcW w:w="1985" w:type="dxa"/>
            <w:vAlign w:val="center"/>
          </w:tcPr>
          <w:p w14:paraId="6BE8E4B7">
            <w:pPr>
              <w:spacing w:line="500" w:lineRule="exact"/>
              <w:jc w:val="center"/>
              <w:rPr>
                <w:rFonts w:eastAsia="黑体"/>
                <w:sz w:val="24"/>
              </w:rPr>
            </w:pPr>
            <w:r>
              <w:rPr>
                <w:rFonts w:eastAsia="黑体"/>
                <w:sz w:val="24"/>
              </w:rPr>
              <w:t>技术文件</w:t>
            </w:r>
          </w:p>
        </w:tc>
        <w:tc>
          <w:tcPr>
            <w:tcW w:w="1842" w:type="dxa"/>
            <w:vAlign w:val="center"/>
          </w:tcPr>
          <w:p w14:paraId="609B337E">
            <w:pPr>
              <w:spacing w:line="500" w:lineRule="exact"/>
              <w:jc w:val="center"/>
              <w:rPr>
                <w:rFonts w:eastAsia="黑体"/>
                <w:sz w:val="24"/>
              </w:rPr>
            </w:pPr>
          </w:p>
        </w:tc>
      </w:tr>
      <w:tr w14:paraId="7897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center"/>
          </w:tcPr>
          <w:p w14:paraId="2BA69C64">
            <w:pPr>
              <w:spacing w:line="500" w:lineRule="exact"/>
              <w:jc w:val="center"/>
              <w:rPr>
                <w:rFonts w:eastAsia="黑体"/>
                <w:sz w:val="24"/>
              </w:rPr>
            </w:pPr>
            <w:r>
              <w:rPr>
                <w:rFonts w:eastAsia="黑体"/>
                <w:sz w:val="24"/>
              </w:rPr>
              <w:t>2</w:t>
            </w:r>
          </w:p>
        </w:tc>
        <w:tc>
          <w:tcPr>
            <w:tcW w:w="4836" w:type="dxa"/>
            <w:vAlign w:val="center"/>
          </w:tcPr>
          <w:p w14:paraId="31CA7D39">
            <w:pPr>
              <w:spacing w:line="500" w:lineRule="exact"/>
              <w:rPr>
                <w:rFonts w:eastAsia="黑体"/>
                <w:sz w:val="24"/>
              </w:rPr>
            </w:pPr>
            <w:r>
              <w:rPr>
                <w:rFonts w:eastAsia="黑体"/>
                <w:sz w:val="24"/>
              </w:rPr>
              <w:t>参选书</w:t>
            </w:r>
          </w:p>
        </w:tc>
        <w:tc>
          <w:tcPr>
            <w:tcW w:w="1985" w:type="dxa"/>
            <w:vAlign w:val="center"/>
          </w:tcPr>
          <w:p w14:paraId="4032C5D4">
            <w:pPr>
              <w:spacing w:line="500" w:lineRule="exact"/>
              <w:jc w:val="center"/>
              <w:rPr>
                <w:rFonts w:eastAsia="黑体"/>
                <w:sz w:val="24"/>
              </w:rPr>
            </w:pPr>
            <w:r>
              <w:rPr>
                <w:rFonts w:eastAsia="黑体"/>
                <w:sz w:val="24"/>
              </w:rPr>
              <w:t>技术文件</w:t>
            </w:r>
          </w:p>
        </w:tc>
        <w:tc>
          <w:tcPr>
            <w:tcW w:w="1842" w:type="dxa"/>
            <w:vAlign w:val="center"/>
          </w:tcPr>
          <w:p w14:paraId="76DC32D9">
            <w:pPr>
              <w:spacing w:line="500" w:lineRule="exact"/>
              <w:jc w:val="center"/>
              <w:rPr>
                <w:rFonts w:eastAsia="黑体"/>
                <w:sz w:val="24"/>
              </w:rPr>
            </w:pPr>
          </w:p>
        </w:tc>
      </w:tr>
      <w:tr w14:paraId="490F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center"/>
          </w:tcPr>
          <w:p w14:paraId="6E705A99">
            <w:pPr>
              <w:spacing w:line="500" w:lineRule="exact"/>
              <w:jc w:val="center"/>
              <w:rPr>
                <w:rFonts w:eastAsia="黑体"/>
                <w:sz w:val="24"/>
              </w:rPr>
            </w:pPr>
            <w:r>
              <w:rPr>
                <w:rFonts w:eastAsia="黑体"/>
                <w:sz w:val="24"/>
              </w:rPr>
              <w:t>3</w:t>
            </w:r>
          </w:p>
        </w:tc>
        <w:tc>
          <w:tcPr>
            <w:tcW w:w="4836" w:type="dxa"/>
            <w:vAlign w:val="center"/>
          </w:tcPr>
          <w:p w14:paraId="67508ACD">
            <w:pPr>
              <w:spacing w:line="500" w:lineRule="exact"/>
              <w:rPr>
                <w:rFonts w:eastAsia="黑体"/>
                <w:sz w:val="24"/>
              </w:rPr>
            </w:pPr>
            <w:r>
              <w:rPr>
                <w:rFonts w:eastAsia="黑体"/>
                <w:sz w:val="24"/>
              </w:rPr>
              <w:t>法定代表人授权书</w:t>
            </w:r>
          </w:p>
        </w:tc>
        <w:tc>
          <w:tcPr>
            <w:tcW w:w="1985" w:type="dxa"/>
            <w:vAlign w:val="center"/>
          </w:tcPr>
          <w:p w14:paraId="17E9D7FB">
            <w:pPr>
              <w:spacing w:line="500" w:lineRule="exact"/>
              <w:jc w:val="center"/>
              <w:rPr>
                <w:rFonts w:eastAsia="黑体"/>
                <w:sz w:val="24"/>
              </w:rPr>
            </w:pPr>
            <w:r>
              <w:rPr>
                <w:rFonts w:eastAsia="黑体"/>
                <w:sz w:val="24"/>
              </w:rPr>
              <w:t>技术文件</w:t>
            </w:r>
          </w:p>
        </w:tc>
        <w:tc>
          <w:tcPr>
            <w:tcW w:w="1842" w:type="dxa"/>
            <w:vAlign w:val="center"/>
          </w:tcPr>
          <w:p w14:paraId="010F752E">
            <w:pPr>
              <w:spacing w:line="500" w:lineRule="exact"/>
              <w:jc w:val="center"/>
              <w:rPr>
                <w:rFonts w:eastAsia="黑体"/>
                <w:sz w:val="24"/>
              </w:rPr>
            </w:pPr>
          </w:p>
        </w:tc>
      </w:tr>
      <w:tr w14:paraId="7082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center"/>
          </w:tcPr>
          <w:p w14:paraId="627161AE">
            <w:pPr>
              <w:spacing w:line="500" w:lineRule="exact"/>
              <w:jc w:val="center"/>
              <w:rPr>
                <w:rFonts w:eastAsia="黑体"/>
                <w:sz w:val="24"/>
              </w:rPr>
            </w:pPr>
            <w:r>
              <w:rPr>
                <w:rFonts w:eastAsia="黑体"/>
                <w:sz w:val="24"/>
              </w:rPr>
              <w:t>4</w:t>
            </w:r>
          </w:p>
        </w:tc>
        <w:tc>
          <w:tcPr>
            <w:tcW w:w="4836" w:type="dxa"/>
            <w:vAlign w:val="center"/>
          </w:tcPr>
          <w:p w14:paraId="32BD331E">
            <w:pPr>
              <w:spacing w:line="500" w:lineRule="exact"/>
              <w:rPr>
                <w:rFonts w:eastAsia="黑体"/>
                <w:sz w:val="24"/>
              </w:rPr>
            </w:pPr>
            <w:r>
              <w:rPr>
                <w:rFonts w:eastAsia="黑体"/>
                <w:sz w:val="24"/>
              </w:rPr>
              <w:t>企业概况</w:t>
            </w:r>
          </w:p>
        </w:tc>
        <w:tc>
          <w:tcPr>
            <w:tcW w:w="1985" w:type="dxa"/>
            <w:vAlign w:val="center"/>
          </w:tcPr>
          <w:p w14:paraId="1F5ED6C0">
            <w:pPr>
              <w:spacing w:line="500" w:lineRule="exact"/>
              <w:jc w:val="center"/>
              <w:rPr>
                <w:rFonts w:eastAsia="黑体"/>
                <w:sz w:val="24"/>
              </w:rPr>
            </w:pPr>
            <w:r>
              <w:rPr>
                <w:rFonts w:eastAsia="黑体"/>
                <w:sz w:val="24"/>
              </w:rPr>
              <w:t>技术文件</w:t>
            </w:r>
          </w:p>
        </w:tc>
        <w:tc>
          <w:tcPr>
            <w:tcW w:w="1842" w:type="dxa"/>
            <w:vAlign w:val="center"/>
          </w:tcPr>
          <w:p w14:paraId="146136DB">
            <w:pPr>
              <w:spacing w:line="500" w:lineRule="exact"/>
              <w:jc w:val="center"/>
              <w:rPr>
                <w:rFonts w:eastAsia="黑体"/>
                <w:sz w:val="24"/>
              </w:rPr>
            </w:pPr>
          </w:p>
        </w:tc>
      </w:tr>
      <w:tr w14:paraId="27EA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center"/>
          </w:tcPr>
          <w:p w14:paraId="4AD4A9F6">
            <w:pPr>
              <w:spacing w:line="500" w:lineRule="exact"/>
              <w:jc w:val="center"/>
              <w:rPr>
                <w:rFonts w:eastAsia="黑体"/>
                <w:sz w:val="24"/>
              </w:rPr>
            </w:pPr>
            <w:r>
              <w:rPr>
                <w:rFonts w:eastAsia="黑体"/>
                <w:sz w:val="24"/>
              </w:rPr>
              <w:t>5</w:t>
            </w:r>
          </w:p>
        </w:tc>
        <w:tc>
          <w:tcPr>
            <w:tcW w:w="4836" w:type="dxa"/>
            <w:vAlign w:val="center"/>
          </w:tcPr>
          <w:p w14:paraId="5B890EB8">
            <w:pPr>
              <w:spacing w:line="500" w:lineRule="exact"/>
              <w:rPr>
                <w:rFonts w:eastAsia="黑体"/>
                <w:sz w:val="24"/>
              </w:rPr>
            </w:pPr>
            <w:r>
              <w:rPr>
                <w:rFonts w:eastAsia="黑体"/>
                <w:sz w:val="24"/>
              </w:rPr>
              <w:t>商务报价函</w:t>
            </w:r>
          </w:p>
        </w:tc>
        <w:tc>
          <w:tcPr>
            <w:tcW w:w="1985" w:type="dxa"/>
            <w:vAlign w:val="center"/>
          </w:tcPr>
          <w:p w14:paraId="34068635">
            <w:pPr>
              <w:spacing w:line="500" w:lineRule="exact"/>
              <w:jc w:val="center"/>
              <w:rPr>
                <w:rFonts w:eastAsia="黑体"/>
                <w:sz w:val="24"/>
              </w:rPr>
            </w:pPr>
            <w:r>
              <w:rPr>
                <w:rFonts w:eastAsia="黑体"/>
                <w:sz w:val="24"/>
              </w:rPr>
              <w:t>商务文件</w:t>
            </w:r>
          </w:p>
        </w:tc>
        <w:tc>
          <w:tcPr>
            <w:tcW w:w="1842" w:type="dxa"/>
            <w:vAlign w:val="center"/>
          </w:tcPr>
          <w:p w14:paraId="79575F2A">
            <w:pPr>
              <w:spacing w:line="500" w:lineRule="exact"/>
              <w:jc w:val="center"/>
              <w:rPr>
                <w:rFonts w:eastAsia="黑体"/>
                <w:sz w:val="24"/>
              </w:rPr>
            </w:pPr>
          </w:p>
        </w:tc>
      </w:tr>
      <w:tr w14:paraId="23BA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center"/>
          </w:tcPr>
          <w:p w14:paraId="75A63A8C">
            <w:pPr>
              <w:spacing w:line="500" w:lineRule="exact"/>
              <w:jc w:val="center"/>
              <w:rPr>
                <w:rFonts w:eastAsia="黑体"/>
                <w:sz w:val="24"/>
              </w:rPr>
            </w:pPr>
            <w:r>
              <w:rPr>
                <w:rFonts w:eastAsia="黑体"/>
                <w:sz w:val="24"/>
              </w:rPr>
              <w:t>6</w:t>
            </w:r>
          </w:p>
        </w:tc>
        <w:tc>
          <w:tcPr>
            <w:tcW w:w="4836" w:type="dxa"/>
            <w:vAlign w:val="center"/>
          </w:tcPr>
          <w:p w14:paraId="0520F2EA">
            <w:pPr>
              <w:spacing w:line="500" w:lineRule="exact"/>
              <w:rPr>
                <w:rFonts w:eastAsia="黑体"/>
                <w:sz w:val="24"/>
              </w:rPr>
            </w:pPr>
            <w:r>
              <w:rPr>
                <w:rFonts w:eastAsia="黑体"/>
                <w:sz w:val="24"/>
              </w:rPr>
              <w:t>专家名单</w:t>
            </w:r>
          </w:p>
        </w:tc>
        <w:tc>
          <w:tcPr>
            <w:tcW w:w="1985" w:type="dxa"/>
            <w:vAlign w:val="center"/>
          </w:tcPr>
          <w:p w14:paraId="5C13BDC4">
            <w:pPr>
              <w:spacing w:line="500" w:lineRule="exact"/>
              <w:jc w:val="center"/>
              <w:rPr>
                <w:rFonts w:eastAsia="黑体"/>
                <w:sz w:val="24"/>
              </w:rPr>
            </w:pPr>
            <w:r>
              <w:rPr>
                <w:rFonts w:eastAsia="黑体"/>
                <w:sz w:val="24"/>
              </w:rPr>
              <w:t>技术文件</w:t>
            </w:r>
          </w:p>
        </w:tc>
        <w:tc>
          <w:tcPr>
            <w:tcW w:w="1842" w:type="dxa"/>
            <w:vAlign w:val="center"/>
          </w:tcPr>
          <w:p w14:paraId="7C640255">
            <w:pPr>
              <w:spacing w:line="500" w:lineRule="exact"/>
              <w:jc w:val="center"/>
              <w:rPr>
                <w:rFonts w:eastAsia="黑体"/>
                <w:sz w:val="24"/>
              </w:rPr>
            </w:pPr>
          </w:p>
        </w:tc>
      </w:tr>
      <w:tr w14:paraId="6B84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center"/>
          </w:tcPr>
          <w:p w14:paraId="43E46D76">
            <w:pPr>
              <w:spacing w:line="500" w:lineRule="exact"/>
              <w:jc w:val="center"/>
              <w:rPr>
                <w:rFonts w:eastAsia="黑体"/>
                <w:sz w:val="24"/>
              </w:rPr>
            </w:pPr>
            <w:r>
              <w:rPr>
                <w:rFonts w:eastAsia="黑体"/>
                <w:sz w:val="24"/>
              </w:rPr>
              <w:t>7</w:t>
            </w:r>
          </w:p>
        </w:tc>
        <w:tc>
          <w:tcPr>
            <w:tcW w:w="4836" w:type="dxa"/>
            <w:vAlign w:val="center"/>
          </w:tcPr>
          <w:p w14:paraId="2D482514">
            <w:pPr>
              <w:spacing w:line="500" w:lineRule="exact"/>
              <w:rPr>
                <w:rFonts w:eastAsia="黑体"/>
                <w:sz w:val="24"/>
              </w:rPr>
            </w:pPr>
            <w:r>
              <w:rPr>
                <w:rFonts w:eastAsia="黑体"/>
                <w:sz w:val="24"/>
              </w:rPr>
              <w:t>服务方案</w:t>
            </w:r>
          </w:p>
        </w:tc>
        <w:tc>
          <w:tcPr>
            <w:tcW w:w="1985" w:type="dxa"/>
            <w:vAlign w:val="center"/>
          </w:tcPr>
          <w:p w14:paraId="43C3489B">
            <w:pPr>
              <w:spacing w:line="500" w:lineRule="exact"/>
              <w:jc w:val="center"/>
              <w:rPr>
                <w:rFonts w:eastAsia="黑体"/>
                <w:sz w:val="24"/>
              </w:rPr>
            </w:pPr>
            <w:r>
              <w:rPr>
                <w:rFonts w:eastAsia="黑体"/>
                <w:sz w:val="24"/>
              </w:rPr>
              <w:t>技术文件</w:t>
            </w:r>
          </w:p>
        </w:tc>
        <w:tc>
          <w:tcPr>
            <w:tcW w:w="1842" w:type="dxa"/>
            <w:vAlign w:val="center"/>
          </w:tcPr>
          <w:p w14:paraId="35C54211">
            <w:pPr>
              <w:spacing w:line="500" w:lineRule="exact"/>
              <w:jc w:val="center"/>
              <w:rPr>
                <w:rFonts w:eastAsia="黑体"/>
                <w:sz w:val="24"/>
              </w:rPr>
            </w:pPr>
          </w:p>
        </w:tc>
      </w:tr>
      <w:tr w14:paraId="301A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center"/>
          </w:tcPr>
          <w:p w14:paraId="512D8212">
            <w:pPr>
              <w:spacing w:line="500" w:lineRule="exact"/>
              <w:jc w:val="center"/>
              <w:rPr>
                <w:rFonts w:eastAsia="黑体"/>
                <w:sz w:val="24"/>
              </w:rPr>
            </w:pPr>
            <w:r>
              <w:rPr>
                <w:rFonts w:eastAsia="黑体"/>
                <w:sz w:val="24"/>
              </w:rPr>
              <w:t>8</w:t>
            </w:r>
          </w:p>
        </w:tc>
        <w:tc>
          <w:tcPr>
            <w:tcW w:w="4836" w:type="dxa"/>
            <w:vAlign w:val="center"/>
          </w:tcPr>
          <w:p w14:paraId="59E3D85C">
            <w:pPr>
              <w:spacing w:line="500" w:lineRule="exact"/>
              <w:rPr>
                <w:rFonts w:eastAsia="黑体"/>
                <w:sz w:val="24"/>
              </w:rPr>
            </w:pPr>
            <w:r>
              <w:rPr>
                <w:rFonts w:eastAsia="黑体"/>
                <w:sz w:val="24"/>
              </w:rPr>
              <w:t>其他证明相关材料</w:t>
            </w:r>
          </w:p>
        </w:tc>
        <w:tc>
          <w:tcPr>
            <w:tcW w:w="1985" w:type="dxa"/>
            <w:vAlign w:val="center"/>
          </w:tcPr>
          <w:p w14:paraId="14F029E0">
            <w:pPr>
              <w:spacing w:line="500" w:lineRule="exact"/>
              <w:jc w:val="center"/>
              <w:rPr>
                <w:rFonts w:eastAsia="黑体"/>
                <w:sz w:val="24"/>
              </w:rPr>
            </w:pPr>
            <w:r>
              <w:rPr>
                <w:rFonts w:eastAsia="黑体"/>
                <w:sz w:val="24"/>
              </w:rPr>
              <w:t>技术文件</w:t>
            </w:r>
          </w:p>
        </w:tc>
        <w:tc>
          <w:tcPr>
            <w:tcW w:w="1842" w:type="dxa"/>
            <w:vAlign w:val="center"/>
          </w:tcPr>
          <w:p w14:paraId="5C8331CB">
            <w:pPr>
              <w:spacing w:line="500" w:lineRule="exact"/>
              <w:jc w:val="center"/>
              <w:rPr>
                <w:rFonts w:eastAsia="黑体"/>
                <w:sz w:val="24"/>
              </w:rPr>
            </w:pPr>
          </w:p>
        </w:tc>
      </w:tr>
      <w:tr w14:paraId="1009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center"/>
          </w:tcPr>
          <w:p w14:paraId="73843372">
            <w:pPr>
              <w:spacing w:line="500" w:lineRule="exact"/>
              <w:jc w:val="center"/>
              <w:rPr>
                <w:rFonts w:eastAsia="黑体"/>
                <w:sz w:val="24"/>
              </w:rPr>
            </w:pPr>
            <w:r>
              <w:rPr>
                <w:rFonts w:eastAsia="黑体"/>
                <w:sz w:val="24"/>
              </w:rPr>
              <w:t>9</w:t>
            </w:r>
          </w:p>
        </w:tc>
        <w:tc>
          <w:tcPr>
            <w:tcW w:w="4836" w:type="dxa"/>
            <w:vAlign w:val="center"/>
          </w:tcPr>
          <w:p w14:paraId="31B6925A">
            <w:pPr>
              <w:spacing w:line="500" w:lineRule="exact"/>
              <w:rPr>
                <w:rFonts w:eastAsia="黑体"/>
                <w:sz w:val="24"/>
              </w:rPr>
            </w:pPr>
          </w:p>
        </w:tc>
        <w:tc>
          <w:tcPr>
            <w:tcW w:w="1985" w:type="dxa"/>
            <w:vAlign w:val="center"/>
          </w:tcPr>
          <w:p w14:paraId="44195CF0">
            <w:pPr>
              <w:spacing w:line="500" w:lineRule="exact"/>
              <w:jc w:val="center"/>
              <w:rPr>
                <w:rFonts w:eastAsia="黑体"/>
                <w:sz w:val="24"/>
              </w:rPr>
            </w:pPr>
          </w:p>
        </w:tc>
        <w:tc>
          <w:tcPr>
            <w:tcW w:w="1842" w:type="dxa"/>
            <w:vAlign w:val="center"/>
          </w:tcPr>
          <w:p w14:paraId="1C0F3FA7">
            <w:pPr>
              <w:spacing w:line="500" w:lineRule="exact"/>
              <w:jc w:val="center"/>
              <w:rPr>
                <w:rFonts w:eastAsia="黑体"/>
                <w:sz w:val="24"/>
              </w:rPr>
            </w:pPr>
          </w:p>
        </w:tc>
      </w:tr>
      <w:tr w14:paraId="675E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center"/>
          </w:tcPr>
          <w:p w14:paraId="5CB31C8B">
            <w:pPr>
              <w:spacing w:line="500" w:lineRule="exact"/>
              <w:jc w:val="center"/>
              <w:rPr>
                <w:rFonts w:eastAsia="黑体"/>
                <w:sz w:val="24"/>
              </w:rPr>
            </w:pPr>
            <w:r>
              <w:rPr>
                <w:rFonts w:eastAsia="黑体"/>
                <w:sz w:val="24"/>
              </w:rPr>
              <w:t>10</w:t>
            </w:r>
          </w:p>
        </w:tc>
        <w:tc>
          <w:tcPr>
            <w:tcW w:w="4836" w:type="dxa"/>
            <w:vAlign w:val="center"/>
          </w:tcPr>
          <w:p w14:paraId="5E5ADBD5">
            <w:pPr>
              <w:spacing w:line="500" w:lineRule="exact"/>
              <w:rPr>
                <w:rFonts w:eastAsia="黑体"/>
                <w:sz w:val="24"/>
              </w:rPr>
            </w:pPr>
          </w:p>
        </w:tc>
        <w:tc>
          <w:tcPr>
            <w:tcW w:w="1985" w:type="dxa"/>
            <w:vAlign w:val="center"/>
          </w:tcPr>
          <w:p w14:paraId="5EB06453">
            <w:pPr>
              <w:spacing w:line="500" w:lineRule="exact"/>
              <w:jc w:val="center"/>
              <w:rPr>
                <w:rFonts w:eastAsia="黑体"/>
                <w:sz w:val="24"/>
              </w:rPr>
            </w:pPr>
          </w:p>
        </w:tc>
        <w:tc>
          <w:tcPr>
            <w:tcW w:w="1842" w:type="dxa"/>
            <w:vAlign w:val="center"/>
          </w:tcPr>
          <w:p w14:paraId="3005BE36">
            <w:pPr>
              <w:spacing w:line="500" w:lineRule="exact"/>
              <w:jc w:val="center"/>
              <w:rPr>
                <w:rFonts w:eastAsia="黑体"/>
                <w:sz w:val="24"/>
              </w:rPr>
            </w:pPr>
          </w:p>
        </w:tc>
      </w:tr>
      <w:tr w14:paraId="268E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center"/>
          </w:tcPr>
          <w:p w14:paraId="40A9FC4A">
            <w:pPr>
              <w:spacing w:line="500" w:lineRule="exact"/>
              <w:jc w:val="center"/>
              <w:rPr>
                <w:rFonts w:eastAsia="黑体"/>
                <w:sz w:val="24"/>
              </w:rPr>
            </w:pPr>
            <w:r>
              <w:rPr>
                <w:rFonts w:eastAsia="黑体"/>
                <w:sz w:val="24"/>
              </w:rPr>
              <w:t>11</w:t>
            </w:r>
          </w:p>
        </w:tc>
        <w:tc>
          <w:tcPr>
            <w:tcW w:w="4836" w:type="dxa"/>
            <w:vAlign w:val="center"/>
          </w:tcPr>
          <w:p w14:paraId="544078C0">
            <w:pPr>
              <w:spacing w:line="500" w:lineRule="exact"/>
              <w:rPr>
                <w:rFonts w:eastAsia="黑体"/>
                <w:sz w:val="24"/>
              </w:rPr>
            </w:pPr>
          </w:p>
        </w:tc>
        <w:tc>
          <w:tcPr>
            <w:tcW w:w="1985" w:type="dxa"/>
            <w:vAlign w:val="center"/>
          </w:tcPr>
          <w:p w14:paraId="48653DBC">
            <w:pPr>
              <w:spacing w:line="500" w:lineRule="exact"/>
              <w:jc w:val="center"/>
              <w:rPr>
                <w:rFonts w:eastAsia="黑体"/>
                <w:sz w:val="24"/>
              </w:rPr>
            </w:pPr>
          </w:p>
        </w:tc>
        <w:tc>
          <w:tcPr>
            <w:tcW w:w="1842" w:type="dxa"/>
            <w:vAlign w:val="center"/>
          </w:tcPr>
          <w:p w14:paraId="6EFE22EC">
            <w:pPr>
              <w:spacing w:line="500" w:lineRule="exact"/>
              <w:jc w:val="center"/>
              <w:rPr>
                <w:rFonts w:eastAsia="黑体"/>
                <w:sz w:val="24"/>
              </w:rPr>
            </w:pPr>
          </w:p>
        </w:tc>
      </w:tr>
      <w:tr w14:paraId="128E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center"/>
          </w:tcPr>
          <w:p w14:paraId="477BFA40">
            <w:pPr>
              <w:spacing w:line="500" w:lineRule="exact"/>
              <w:jc w:val="center"/>
              <w:rPr>
                <w:rFonts w:eastAsia="黑体"/>
                <w:sz w:val="24"/>
              </w:rPr>
            </w:pPr>
            <w:r>
              <w:rPr>
                <w:rFonts w:eastAsia="黑体"/>
                <w:sz w:val="24"/>
              </w:rPr>
              <w:t>12</w:t>
            </w:r>
          </w:p>
        </w:tc>
        <w:tc>
          <w:tcPr>
            <w:tcW w:w="4836" w:type="dxa"/>
            <w:vAlign w:val="center"/>
          </w:tcPr>
          <w:p w14:paraId="7A3C4E1A">
            <w:pPr>
              <w:spacing w:line="500" w:lineRule="exact"/>
              <w:rPr>
                <w:rFonts w:eastAsia="黑体"/>
                <w:sz w:val="24"/>
              </w:rPr>
            </w:pPr>
          </w:p>
        </w:tc>
        <w:tc>
          <w:tcPr>
            <w:tcW w:w="1985" w:type="dxa"/>
            <w:vAlign w:val="center"/>
          </w:tcPr>
          <w:p w14:paraId="768D2803">
            <w:pPr>
              <w:spacing w:line="500" w:lineRule="exact"/>
              <w:jc w:val="center"/>
              <w:rPr>
                <w:rFonts w:eastAsia="黑体"/>
                <w:sz w:val="24"/>
              </w:rPr>
            </w:pPr>
          </w:p>
        </w:tc>
        <w:tc>
          <w:tcPr>
            <w:tcW w:w="1842" w:type="dxa"/>
            <w:vAlign w:val="center"/>
          </w:tcPr>
          <w:p w14:paraId="204502F0">
            <w:pPr>
              <w:spacing w:line="500" w:lineRule="exact"/>
              <w:jc w:val="center"/>
              <w:rPr>
                <w:rFonts w:eastAsia="黑体"/>
                <w:sz w:val="24"/>
              </w:rPr>
            </w:pPr>
          </w:p>
        </w:tc>
      </w:tr>
      <w:tr w14:paraId="71A4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center"/>
          </w:tcPr>
          <w:p w14:paraId="7D8A4A7A">
            <w:pPr>
              <w:spacing w:line="500" w:lineRule="exact"/>
              <w:jc w:val="center"/>
              <w:rPr>
                <w:rFonts w:eastAsia="黑体"/>
                <w:sz w:val="24"/>
              </w:rPr>
            </w:pPr>
            <w:r>
              <w:rPr>
                <w:rFonts w:eastAsia="黑体"/>
                <w:sz w:val="24"/>
              </w:rPr>
              <w:t>13</w:t>
            </w:r>
          </w:p>
        </w:tc>
        <w:tc>
          <w:tcPr>
            <w:tcW w:w="4836" w:type="dxa"/>
            <w:vAlign w:val="center"/>
          </w:tcPr>
          <w:p w14:paraId="3D581AA3">
            <w:pPr>
              <w:spacing w:line="500" w:lineRule="exact"/>
              <w:rPr>
                <w:rFonts w:eastAsia="黑体"/>
                <w:sz w:val="24"/>
              </w:rPr>
            </w:pPr>
          </w:p>
        </w:tc>
        <w:tc>
          <w:tcPr>
            <w:tcW w:w="1985" w:type="dxa"/>
            <w:vAlign w:val="center"/>
          </w:tcPr>
          <w:p w14:paraId="7802C3D7">
            <w:pPr>
              <w:spacing w:line="500" w:lineRule="exact"/>
              <w:jc w:val="center"/>
              <w:rPr>
                <w:rFonts w:eastAsia="黑体"/>
                <w:sz w:val="24"/>
              </w:rPr>
            </w:pPr>
          </w:p>
        </w:tc>
        <w:tc>
          <w:tcPr>
            <w:tcW w:w="1842" w:type="dxa"/>
            <w:vAlign w:val="center"/>
          </w:tcPr>
          <w:p w14:paraId="1D200D23">
            <w:pPr>
              <w:spacing w:line="500" w:lineRule="exact"/>
              <w:jc w:val="center"/>
              <w:rPr>
                <w:rFonts w:eastAsia="黑体"/>
                <w:sz w:val="24"/>
              </w:rPr>
            </w:pPr>
          </w:p>
        </w:tc>
      </w:tr>
      <w:tr w14:paraId="1E7B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center"/>
          </w:tcPr>
          <w:p w14:paraId="584AA5D0">
            <w:pPr>
              <w:spacing w:line="500" w:lineRule="exact"/>
              <w:jc w:val="center"/>
              <w:rPr>
                <w:rFonts w:eastAsia="黑体"/>
                <w:sz w:val="24"/>
              </w:rPr>
            </w:pPr>
            <w:r>
              <w:rPr>
                <w:rFonts w:eastAsia="黑体"/>
                <w:sz w:val="24"/>
              </w:rPr>
              <w:t>14</w:t>
            </w:r>
          </w:p>
        </w:tc>
        <w:tc>
          <w:tcPr>
            <w:tcW w:w="4836" w:type="dxa"/>
            <w:vAlign w:val="center"/>
          </w:tcPr>
          <w:p w14:paraId="42C7FE32">
            <w:pPr>
              <w:spacing w:line="500" w:lineRule="exact"/>
              <w:rPr>
                <w:rFonts w:eastAsia="黑体"/>
                <w:sz w:val="24"/>
              </w:rPr>
            </w:pPr>
          </w:p>
        </w:tc>
        <w:tc>
          <w:tcPr>
            <w:tcW w:w="1985" w:type="dxa"/>
            <w:vAlign w:val="center"/>
          </w:tcPr>
          <w:p w14:paraId="0D6F91A5">
            <w:pPr>
              <w:spacing w:line="500" w:lineRule="exact"/>
              <w:jc w:val="center"/>
              <w:rPr>
                <w:rFonts w:eastAsia="黑体"/>
                <w:sz w:val="24"/>
              </w:rPr>
            </w:pPr>
          </w:p>
        </w:tc>
        <w:tc>
          <w:tcPr>
            <w:tcW w:w="1842" w:type="dxa"/>
            <w:vAlign w:val="center"/>
          </w:tcPr>
          <w:p w14:paraId="0C331361">
            <w:pPr>
              <w:spacing w:line="500" w:lineRule="exact"/>
              <w:jc w:val="center"/>
              <w:rPr>
                <w:rFonts w:eastAsia="黑体"/>
                <w:sz w:val="24"/>
              </w:rPr>
            </w:pPr>
          </w:p>
        </w:tc>
      </w:tr>
    </w:tbl>
    <w:p w14:paraId="736F6829">
      <w:r>
        <w:br w:type="page"/>
      </w:r>
    </w:p>
    <w:p w14:paraId="13FBE4A2">
      <w:pPr>
        <w:spacing w:line="500" w:lineRule="exact"/>
        <w:jc w:val="center"/>
        <w:rPr>
          <w:rFonts w:eastAsia="黑体"/>
          <w:b/>
          <w:sz w:val="30"/>
          <w:szCs w:val="30"/>
        </w:rPr>
      </w:pPr>
      <w:r>
        <w:rPr>
          <w:rFonts w:eastAsia="黑体"/>
          <w:b/>
          <w:color w:val="FF0000"/>
          <w:sz w:val="30"/>
          <w:szCs w:val="30"/>
        </w:rPr>
        <w:t>一、</w:t>
      </w:r>
      <w:r>
        <w:rPr>
          <w:rFonts w:hint="eastAsia" w:eastAsia="黑体"/>
          <w:b/>
          <w:sz w:val="30"/>
          <w:szCs w:val="30"/>
        </w:rPr>
        <w:t>比选</w:t>
      </w:r>
      <w:r>
        <w:rPr>
          <w:rFonts w:eastAsia="黑体"/>
          <w:b/>
          <w:sz w:val="30"/>
          <w:szCs w:val="30"/>
        </w:rPr>
        <w:t>一览表</w:t>
      </w:r>
    </w:p>
    <w:p w14:paraId="417ED885">
      <w:pPr>
        <w:spacing w:line="700" w:lineRule="exact"/>
        <w:jc w:val="center"/>
        <w:rPr>
          <w:rFonts w:eastAsia="黑体"/>
          <w:b/>
          <w:sz w:val="30"/>
          <w:szCs w:val="30"/>
        </w:rPr>
      </w:pPr>
    </w:p>
    <w:tbl>
      <w:tblPr>
        <w:tblStyle w:val="20"/>
        <w:tblW w:w="8088" w:type="dxa"/>
        <w:jc w:val="center"/>
        <w:tblLayout w:type="autofit"/>
        <w:tblCellMar>
          <w:top w:w="0" w:type="dxa"/>
          <w:left w:w="108" w:type="dxa"/>
          <w:bottom w:w="0" w:type="dxa"/>
          <w:right w:w="108" w:type="dxa"/>
        </w:tblCellMar>
      </w:tblPr>
      <w:tblGrid>
        <w:gridCol w:w="1435"/>
        <w:gridCol w:w="6653"/>
      </w:tblGrid>
      <w:tr w14:paraId="6E9F7ED1">
        <w:tblPrEx>
          <w:tblCellMar>
            <w:top w:w="0" w:type="dxa"/>
            <w:left w:w="108" w:type="dxa"/>
            <w:bottom w:w="0" w:type="dxa"/>
            <w:right w:w="108" w:type="dxa"/>
          </w:tblCellMar>
        </w:tblPrEx>
        <w:trPr>
          <w:trHeight w:val="511" w:hRule="atLeast"/>
          <w:jc w:val="center"/>
        </w:trPr>
        <w:tc>
          <w:tcPr>
            <w:tcW w:w="1435" w:type="dxa"/>
            <w:tcBorders>
              <w:top w:val="single" w:color="auto" w:sz="4" w:space="0"/>
              <w:left w:val="single" w:color="auto" w:sz="4" w:space="0"/>
              <w:bottom w:val="single" w:color="auto" w:sz="4" w:space="0"/>
              <w:right w:val="single" w:color="auto" w:sz="4" w:space="0"/>
            </w:tcBorders>
            <w:noWrap/>
            <w:vAlign w:val="center"/>
          </w:tcPr>
          <w:p w14:paraId="3A452C9A">
            <w:pPr>
              <w:widowControl/>
              <w:jc w:val="center"/>
              <w:rPr>
                <w:rFonts w:eastAsia="黑体"/>
                <w:color w:val="000000"/>
                <w:kern w:val="0"/>
                <w:sz w:val="24"/>
              </w:rPr>
            </w:pPr>
            <w:r>
              <w:rPr>
                <w:rFonts w:eastAsia="黑体"/>
                <w:color w:val="000000"/>
                <w:kern w:val="0"/>
                <w:sz w:val="24"/>
              </w:rPr>
              <w:t>项目名称</w:t>
            </w:r>
          </w:p>
        </w:tc>
        <w:tc>
          <w:tcPr>
            <w:tcW w:w="6653" w:type="dxa"/>
            <w:tcBorders>
              <w:top w:val="single" w:color="auto" w:sz="4" w:space="0"/>
              <w:left w:val="nil"/>
              <w:bottom w:val="single" w:color="auto" w:sz="4" w:space="0"/>
              <w:right w:val="single" w:color="auto" w:sz="4" w:space="0"/>
            </w:tcBorders>
            <w:noWrap/>
            <w:vAlign w:val="center"/>
          </w:tcPr>
          <w:p w14:paraId="0ACCD1F6">
            <w:pPr>
              <w:widowControl/>
              <w:jc w:val="left"/>
              <w:rPr>
                <w:rFonts w:eastAsia="黑体"/>
                <w:color w:val="000000"/>
                <w:kern w:val="0"/>
                <w:sz w:val="24"/>
              </w:rPr>
            </w:pPr>
            <w:r>
              <w:rPr>
                <w:rFonts w:eastAsia="黑体"/>
                <w:color w:val="000000"/>
                <w:kern w:val="0"/>
                <w:sz w:val="24"/>
              </w:rPr>
              <w:t>福化古雷</w:t>
            </w:r>
            <w:r>
              <w:rPr>
                <w:rFonts w:hint="eastAsia" w:eastAsia="黑体"/>
                <w:color w:val="000000"/>
                <w:kern w:val="0"/>
                <w:sz w:val="24"/>
              </w:rPr>
              <w:t>化工企业安全、工艺、设备管理体系评审技术服务项目</w:t>
            </w:r>
          </w:p>
        </w:tc>
      </w:tr>
      <w:tr w14:paraId="1D866367">
        <w:tblPrEx>
          <w:tblCellMar>
            <w:top w:w="0" w:type="dxa"/>
            <w:left w:w="108" w:type="dxa"/>
            <w:bottom w:w="0" w:type="dxa"/>
            <w:right w:w="108" w:type="dxa"/>
          </w:tblCellMar>
        </w:tblPrEx>
        <w:trPr>
          <w:trHeight w:val="511" w:hRule="atLeast"/>
          <w:jc w:val="center"/>
        </w:trPr>
        <w:tc>
          <w:tcPr>
            <w:tcW w:w="1435" w:type="dxa"/>
            <w:tcBorders>
              <w:top w:val="nil"/>
              <w:left w:val="single" w:color="auto" w:sz="4" w:space="0"/>
              <w:bottom w:val="single" w:color="auto" w:sz="4" w:space="0"/>
              <w:right w:val="single" w:color="auto" w:sz="4" w:space="0"/>
            </w:tcBorders>
            <w:noWrap/>
            <w:vAlign w:val="center"/>
          </w:tcPr>
          <w:p w14:paraId="77D0F775">
            <w:pPr>
              <w:widowControl/>
              <w:jc w:val="center"/>
              <w:rPr>
                <w:rFonts w:eastAsia="黑体"/>
                <w:color w:val="000000"/>
                <w:kern w:val="0"/>
                <w:sz w:val="24"/>
              </w:rPr>
            </w:pPr>
            <w:r>
              <w:rPr>
                <w:rFonts w:eastAsia="黑体"/>
                <w:color w:val="000000"/>
                <w:kern w:val="0"/>
                <w:sz w:val="24"/>
              </w:rPr>
              <w:t>参选人</w:t>
            </w:r>
            <w:r>
              <w:rPr>
                <w:rFonts w:hint="eastAsia" w:eastAsia="黑体"/>
                <w:color w:val="000000"/>
                <w:kern w:val="0"/>
                <w:sz w:val="24"/>
              </w:rPr>
              <w:t>单位</w:t>
            </w:r>
          </w:p>
        </w:tc>
        <w:tc>
          <w:tcPr>
            <w:tcW w:w="6653" w:type="dxa"/>
            <w:tcBorders>
              <w:top w:val="nil"/>
              <w:left w:val="nil"/>
              <w:bottom w:val="single" w:color="auto" w:sz="4" w:space="0"/>
              <w:right w:val="single" w:color="auto" w:sz="4" w:space="0"/>
            </w:tcBorders>
            <w:noWrap/>
            <w:vAlign w:val="center"/>
          </w:tcPr>
          <w:p w14:paraId="26B2341F">
            <w:pPr>
              <w:widowControl/>
              <w:jc w:val="left"/>
              <w:rPr>
                <w:rFonts w:eastAsia="黑体"/>
                <w:color w:val="000000"/>
                <w:kern w:val="0"/>
                <w:sz w:val="24"/>
              </w:rPr>
            </w:pPr>
            <w:r>
              <w:rPr>
                <w:rFonts w:hint="eastAsia" w:eastAsia="黑体"/>
                <w:color w:val="92D050"/>
                <w:kern w:val="0"/>
                <w:sz w:val="24"/>
              </w:rPr>
              <w:t>单位名称</w:t>
            </w:r>
          </w:p>
        </w:tc>
      </w:tr>
      <w:tr w14:paraId="5AD8BBEB">
        <w:tblPrEx>
          <w:tblCellMar>
            <w:top w:w="0" w:type="dxa"/>
            <w:left w:w="108" w:type="dxa"/>
            <w:bottom w:w="0" w:type="dxa"/>
            <w:right w:w="108" w:type="dxa"/>
          </w:tblCellMar>
        </w:tblPrEx>
        <w:trPr>
          <w:trHeight w:val="511" w:hRule="atLeast"/>
          <w:jc w:val="center"/>
        </w:trPr>
        <w:tc>
          <w:tcPr>
            <w:tcW w:w="1435" w:type="dxa"/>
            <w:tcBorders>
              <w:top w:val="nil"/>
              <w:left w:val="single" w:color="auto" w:sz="4" w:space="0"/>
              <w:bottom w:val="single" w:color="auto" w:sz="4" w:space="0"/>
              <w:right w:val="single" w:color="auto" w:sz="4" w:space="0"/>
            </w:tcBorders>
            <w:noWrap/>
            <w:vAlign w:val="center"/>
          </w:tcPr>
          <w:p w14:paraId="47A02D9A">
            <w:pPr>
              <w:widowControl/>
              <w:jc w:val="center"/>
              <w:rPr>
                <w:rFonts w:eastAsia="黑体"/>
                <w:color w:val="000000"/>
                <w:kern w:val="0"/>
                <w:sz w:val="24"/>
              </w:rPr>
            </w:pPr>
            <w:r>
              <w:rPr>
                <w:rFonts w:hint="eastAsia" w:eastAsia="黑体"/>
                <w:color w:val="000000"/>
                <w:kern w:val="0"/>
                <w:sz w:val="24"/>
              </w:rPr>
              <w:t>报价</w:t>
            </w:r>
            <w:r>
              <w:rPr>
                <w:rFonts w:eastAsia="黑体"/>
                <w:color w:val="000000"/>
                <w:kern w:val="0"/>
                <w:sz w:val="24"/>
              </w:rPr>
              <w:t>范围</w:t>
            </w:r>
          </w:p>
        </w:tc>
        <w:tc>
          <w:tcPr>
            <w:tcW w:w="6653" w:type="dxa"/>
            <w:tcBorders>
              <w:top w:val="nil"/>
              <w:left w:val="nil"/>
              <w:bottom w:val="single" w:color="auto" w:sz="4" w:space="0"/>
              <w:right w:val="single" w:color="auto" w:sz="4" w:space="0"/>
            </w:tcBorders>
            <w:noWrap/>
            <w:vAlign w:val="center"/>
          </w:tcPr>
          <w:p w14:paraId="670235D9">
            <w:pPr>
              <w:widowControl/>
              <w:jc w:val="left"/>
              <w:rPr>
                <w:rFonts w:eastAsia="黑体"/>
                <w:color w:val="000000"/>
                <w:kern w:val="0"/>
                <w:sz w:val="24"/>
              </w:rPr>
            </w:pPr>
            <w:r>
              <w:rPr>
                <w:rFonts w:eastAsia="黑体"/>
                <w:color w:val="000000"/>
                <w:kern w:val="0"/>
                <w:sz w:val="24"/>
              </w:rPr>
              <w:t>全部</w:t>
            </w:r>
          </w:p>
        </w:tc>
      </w:tr>
      <w:tr w14:paraId="5F4CD667">
        <w:tblPrEx>
          <w:tblCellMar>
            <w:top w:w="0" w:type="dxa"/>
            <w:left w:w="108" w:type="dxa"/>
            <w:bottom w:w="0" w:type="dxa"/>
            <w:right w:w="108" w:type="dxa"/>
          </w:tblCellMar>
        </w:tblPrEx>
        <w:trPr>
          <w:trHeight w:val="511" w:hRule="atLeast"/>
          <w:jc w:val="center"/>
        </w:trPr>
        <w:tc>
          <w:tcPr>
            <w:tcW w:w="1435" w:type="dxa"/>
            <w:tcBorders>
              <w:top w:val="nil"/>
              <w:left w:val="single" w:color="auto" w:sz="4" w:space="0"/>
              <w:bottom w:val="single" w:color="auto" w:sz="4" w:space="0"/>
              <w:right w:val="single" w:color="auto" w:sz="4" w:space="0"/>
            </w:tcBorders>
            <w:noWrap/>
            <w:vAlign w:val="center"/>
          </w:tcPr>
          <w:p w14:paraId="47AE0A66">
            <w:pPr>
              <w:widowControl/>
              <w:jc w:val="center"/>
              <w:rPr>
                <w:rFonts w:eastAsia="黑体"/>
                <w:color w:val="000000"/>
                <w:kern w:val="0"/>
                <w:sz w:val="24"/>
              </w:rPr>
            </w:pPr>
            <w:r>
              <w:rPr>
                <w:rFonts w:hint="eastAsia" w:eastAsia="黑体"/>
                <w:color w:val="000000"/>
                <w:kern w:val="0"/>
                <w:sz w:val="24"/>
              </w:rPr>
              <w:t>参选</w:t>
            </w:r>
            <w:r>
              <w:rPr>
                <w:rFonts w:eastAsia="黑体"/>
                <w:color w:val="000000"/>
                <w:kern w:val="0"/>
                <w:sz w:val="24"/>
              </w:rPr>
              <w:t>报价</w:t>
            </w:r>
          </w:p>
        </w:tc>
        <w:tc>
          <w:tcPr>
            <w:tcW w:w="6653" w:type="dxa"/>
            <w:tcBorders>
              <w:top w:val="nil"/>
              <w:left w:val="nil"/>
              <w:bottom w:val="single" w:color="auto" w:sz="4" w:space="0"/>
              <w:right w:val="single" w:color="auto" w:sz="4" w:space="0"/>
            </w:tcBorders>
            <w:noWrap/>
            <w:vAlign w:val="center"/>
          </w:tcPr>
          <w:p w14:paraId="7AD1D7B3">
            <w:pPr>
              <w:widowControl/>
              <w:jc w:val="left"/>
              <w:rPr>
                <w:rFonts w:eastAsia="黑体"/>
                <w:color w:val="000000"/>
                <w:kern w:val="0"/>
                <w:sz w:val="24"/>
              </w:rPr>
            </w:pPr>
            <w:r>
              <w:rPr>
                <w:rFonts w:hint="eastAsia" w:eastAsia="黑体"/>
                <w:color w:val="92D050"/>
                <w:kern w:val="0"/>
                <w:sz w:val="24"/>
              </w:rPr>
              <w:t>大小写 例：20</w:t>
            </w:r>
            <w:r>
              <w:rPr>
                <w:rFonts w:eastAsia="黑体"/>
                <w:color w:val="92D050"/>
                <w:kern w:val="0"/>
                <w:sz w:val="24"/>
              </w:rPr>
              <w:t>0000</w:t>
            </w:r>
            <w:r>
              <w:rPr>
                <w:rFonts w:hint="eastAsia" w:eastAsia="黑体"/>
                <w:color w:val="92D050"/>
                <w:kern w:val="0"/>
                <w:sz w:val="24"/>
              </w:rPr>
              <w:t>元（贰拾万元整）</w:t>
            </w:r>
          </w:p>
        </w:tc>
      </w:tr>
      <w:tr w14:paraId="40E7C42A">
        <w:tblPrEx>
          <w:tblCellMar>
            <w:top w:w="0" w:type="dxa"/>
            <w:left w:w="108" w:type="dxa"/>
            <w:bottom w:w="0" w:type="dxa"/>
            <w:right w:w="108" w:type="dxa"/>
          </w:tblCellMar>
        </w:tblPrEx>
        <w:trPr>
          <w:trHeight w:val="4717" w:hRule="atLeast"/>
          <w:jc w:val="center"/>
        </w:trPr>
        <w:tc>
          <w:tcPr>
            <w:tcW w:w="1435" w:type="dxa"/>
            <w:tcBorders>
              <w:top w:val="nil"/>
              <w:left w:val="single" w:color="auto" w:sz="4" w:space="0"/>
              <w:bottom w:val="single" w:color="auto" w:sz="4" w:space="0"/>
              <w:right w:val="single" w:color="auto" w:sz="4" w:space="0"/>
            </w:tcBorders>
            <w:noWrap/>
            <w:vAlign w:val="center"/>
          </w:tcPr>
          <w:p w14:paraId="21CA084F">
            <w:pPr>
              <w:widowControl/>
              <w:jc w:val="center"/>
              <w:rPr>
                <w:rFonts w:eastAsia="黑体"/>
                <w:color w:val="000000"/>
                <w:kern w:val="0"/>
                <w:sz w:val="24"/>
              </w:rPr>
            </w:pPr>
            <w:r>
              <w:rPr>
                <w:rFonts w:eastAsia="黑体"/>
                <w:color w:val="000000"/>
                <w:kern w:val="0"/>
                <w:sz w:val="24"/>
              </w:rPr>
              <w:t>其他</w:t>
            </w:r>
            <w:r>
              <w:rPr>
                <w:rFonts w:hint="eastAsia" w:eastAsia="黑体"/>
                <w:color w:val="000000"/>
                <w:kern w:val="0"/>
                <w:sz w:val="24"/>
              </w:rPr>
              <w:t>说明</w:t>
            </w:r>
          </w:p>
        </w:tc>
        <w:tc>
          <w:tcPr>
            <w:tcW w:w="6653" w:type="dxa"/>
            <w:tcBorders>
              <w:top w:val="nil"/>
              <w:left w:val="nil"/>
              <w:bottom w:val="single" w:color="auto" w:sz="4" w:space="0"/>
              <w:right w:val="single" w:color="auto" w:sz="4" w:space="0"/>
            </w:tcBorders>
            <w:noWrap/>
            <w:vAlign w:val="center"/>
          </w:tcPr>
          <w:p w14:paraId="5EAD7ED6">
            <w:pPr>
              <w:widowControl/>
              <w:jc w:val="left"/>
              <w:rPr>
                <w:rFonts w:eastAsia="黑体"/>
                <w:color w:val="000000"/>
                <w:kern w:val="0"/>
                <w:sz w:val="24"/>
              </w:rPr>
            </w:pPr>
          </w:p>
        </w:tc>
      </w:tr>
    </w:tbl>
    <w:p w14:paraId="165D52BB">
      <w:pPr>
        <w:spacing w:line="700" w:lineRule="exact"/>
        <w:jc w:val="left"/>
        <w:rPr>
          <w:sz w:val="24"/>
        </w:rPr>
      </w:pPr>
      <w:r>
        <w:rPr>
          <w:sz w:val="24"/>
        </w:rPr>
        <w:t>参选人签章：</w:t>
      </w:r>
    </w:p>
    <w:p w14:paraId="153B90C0">
      <w:pPr>
        <w:spacing w:line="700" w:lineRule="exact"/>
        <w:jc w:val="left"/>
        <w:rPr>
          <w:color w:val="E54C5E" w:themeColor="accent6"/>
          <w:sz w:val="24"/>
          <w14:textFill>
            <w14:solidFill>
              <w14:schemeClr w14:val="accent6"/>
            </w14:solidFill>
          </w14:textFill>
        </w:rPr>
      </w:pPr>
      <w:r>
        <w:rPr>
          <w:rFonts w:hint="eastAsia"/>
          <w:color w:val="E54C5E" w:themeColor="accent6"/>
          <w:sz w:val="24"/>
          <w14:textFill>
            <w14:solidFill>
              <w14:schemeClr w14:val="accent6"/>
            </w14:solidFill>
          </w14:textFill>
        </w:rPr>
        <w:t>（公章）</w:t>
      </w:r>
    </w:p>
    <w:p w14:paraId="292CCDCC">
      <w:pPr>
        <w:spacing w:line="700" w:lineRule="exact"/>
        <w:jc w:val="left"/>
        <w:rPr>
          <w:b/>
          <w:color w:val="FF0000"/>
          <w:sz w:val="24"/>
        </w:rPr>
      </w:pPr>
      <w:r>
        <w:rPr>
          <w:b/>
          <w:color w:val="FF0000"/>
          <w:sz w:val="24"/>
        </w:rPr>
        <w:t>备注：</w:t>
      </w:r>
    </w:p>
    <w:p w14:paraId="36DFDFDB">
      <w:pPr>
        <w:spacing w:line="560" w:lineRule="exact"/>
        <w:jc w:val="left"/>
        <w:rPr>
          <w:color w:val="FF0000"/>
          <w:sz w:val="24"/>
        </w:rPr>
      </w:pPr>
      <w:r>
        <w:rPr>
          <w:color w:val="FF0000"/>
          <w:sz w:val="24"/>
        </w:rPr>
        <w:t>1..表中报价即为优惠后报价，并作为评审及定标依据。任何有选择或有条件的报价，或者表中某一包别填写多个报价，均为无效报价。</w:t>
      </w:r>
    </w:p>
    <w:p w14:paraId="459B98BE">
      <w:r>
        <w:br w:type="page"/>
      </w:r>
    </w:p>
    <w:p w14:paraId="7D3F9619">
      <w:pPr>
        <w:spacing w:line="500" w:lineRule="exact"/>
        <w:jc w:val="center"/>
        <w:rPr>
          <w:rFonts w:hint="eastAsia" w:ascii="黑体" w:hAnsi="黑体" w:eastAsia="黑体"/>
          <w:b/>
          <w:bCs/>
          <w:sz w:val="30"/>
          <w:szCs w:val="30"/>
        </w:rPr>
      </w:pPr>
      <w:r>
        <w:rPr>
          <w:rFonts w:hint="eastAsia" w:ascii="黑体" w:hAnsi="黑体" w:eastAsia="黑体"/>
          <w:b/>
          <w:bCs/>
          <w:color w:val="FF0000"/>
          <w:sz w:val="30"/>
          <w:szCs w:val="30"/>
        </w:rPr>
        <w:t>二、</w:t>
      </w:r>
      <w:r>
        <w:rPr>
          <w:rFonts w:hint="eastAsia" w:ascii="黑体" w:hAnsi="黑体" w:eastAsia="黑体"/>
          <w:b/>
          <w:bCs/>
          <w:sz w:val="30"/>
          <w:szCs w:val="30"/>
        </w:rPr>
        <w:t>参选书</w:t>
      </w:r>
    </w:p>
    <w:p w14:paraId="0B6E3E90">
      <w:pPr>
        <w:spacing w:line="500" w:lineRule="exact"/>
        <w:jc w:val="center"/>
        <w:rPr>
          <w:rFonts w:hint="eastAsia" w:ascii="黑体" w:hAnsi="黑体" w:eastAsia="黑体"/>
          <w:b/>
          <w:bCs/>
          <w:sz w:val="30"/>
          <w:szCs w:val="30"/>
        </w:rPr>
      </w:pPr>
    </w:p>
    <w:p w14:paraId="1F62C8FF">
      <w:pPr>
        <w:spacing w:line="500" w:lineRule="exact"/>
        <w:rPr>
          <w:sz w:val="24"/>
        </w:rPr>
      </w:pPr>
      <w:r>
        <w:rPr>
          <w:rFonts w:hint="eastAsia"/>
          <w:sz w:val="24"/>
        </w:rPr>
        <w:t>致：福建福化古雷石油化工有限公司</w:t>
      </w:r>
    </w:p>
    <w:p w14:paraId="2BC59855">
      <w:pPr>
        <w:spacing w:line="500" w:lineRule="exact"/>
        <w:ind w:firstLine="480" w:firstLineChars="200"/>
        <w:rPr>
          <w:sz w:val="24"/>
        </w:rPr>
      </w:pPr>
      <w:r>
        <w:rPr>
          <w:rFonts w:hint="eastAsia"/>
          <w:sz w:val="24"/>
        </w:rPr>
        <w:t>根据贵方的比选文件，</w:t>
      </w:r>
      <w:r>
        <w:rPr>
          <w:rFonts w:hint="eastAsia"/>
          <w:color w:val="00B050"/>
          <w:sz w:val="24"/>
          <w:u w:val="single"/>
        </w:rPr>
        <w:t>被授权代表人姓名</w:t>
      </w:r>
      <w:r>
        <w:rPr>
          <w:rFonts w:hint="eastAsia"/>
          <w:sz w:val="24"/>
        </w:rPr>
        <w:t>被我方正式授权并代表我公司</w:t>
      </w:r>
      <w:r>
        <w:rPr>
          <w:rFonts w:hint="eastAsia"/>
          <w:color w:val="00B050"/>
          <w:sz w:val="24"/>
          <w:u w:val="single"/>
        </w:rPr>
        <w:t>单位名称</w:t>
      </w:r>
      <w:r>
        <w:rPr>
          <w:rFonts w:hint="eastAsia"/>
          <w:sz w:val="24"/>
        </w:rPr>
        <w:t>递交下述文件，并对此负责。</w:t>
      </w:r>
    </w:p>
    <w:p w14:paraId="5671C979">
      <w:pPr>
        <w:spacing w:line="500" w:lineRule="exact"/>
        <w:ind w:firstLine="480" w:firstLineChars="200"/>
        <w:rPr>
          <w:sz w:val="24"/>
        </w:rPr>
      </w:pPr>
      <w:r>
        <w:rPr>
          <w:rFonts w:hint="eastAsia"/>
          <w:sz w:val="24"/>
        </w:rPr>
        <w:t>（1）比选一览表</w:t>
      </w:r>
    </w:p>
    <w:p w14:paraId="664B0391">
      <w:pPr>
        <w:spacing w:line="500" w:lineRule="exact"/>
        <w:ind w:firstLine="480" w:firstLineChars="200"/>
        <w:rPr>
          <w:sz w:val="24"/>
        </w:rPr>
      </w:pPr>
      <w:r>
        <w:rPr>
          <w:rFonts w:hint="eastAsia"/>
          <w:sz w:val="24"/>
        </w:rPr>
        <w:t>（2）参选书</w:t>
      </w:r>
    </w:p>
    <w:p w14:paraId="66D4BEFE">
      <w:pPr>
        <w:spacing w:line="500" w:lineRule="exact"/>
        <w:ind w:firstLine="480" w:firstLineChars="200"/>
        <w:rPr>
          <w:sz w:val="24"/>
        </w:rPr>
      </w:pPr>
      <w:r>
        <w:rPr>
          <w:rFonts w:hint="eastAsia"/>
          <w:sz w:val="24"/>
        </w:rPr>
        <w:t>（3）法定代表人授权书</w:t>
      </w:r>
    </w:p>
    <w:p w14:paraId="0AB01701">
      <w:pPr>
        <w:spacing w:line="500" w:lineRule="exact"/>
        <w:ind w:firstLine="480" w:firstLineChars="200"/>
        <w:rPr>
          <w:sz w:val="24"/>
        </w:rPr>
      </w:pPr>
      <w:r>
        <w:rPr>
          <w:rFonts w:hint="eastAsia"/>
          <w:sz w:val="24"/>
        </w:rPr>
        <w:t>（4）企业概况</w:t>
      </w:r>
    </w:p>
    <w:p w14:paraId="206F3717">
      <w:pPr>
        <w:spacing w:line="500" w:lineRule="exact"/>
        <w:ind w:firstLine="480" w:firstLineChars="200"/>
        <w:rPr>
          <w:sz w:val="24"/>
        </w:rPr>
      </w:pPr>
      <w:r>
        <w:rPr>
          <w:sz w:val="24"/>
        </w:rPr>
        <w:t>（</w:t>
      </w:r>
      <w:r>
        <w:rPr>
          <w:rFonts w:hint="eastAsia"/>
          <w:sz w:val="24"/>
        </w:rPr>
        <w:t>5</w:t>
      </w:r>
      <w:r>
        <w:rPr>
          <w:sz w:val="24"/>
        </w:rPr>
        <w:t>）</w:t>
      </w:r>
      <w:r>
        <w:rPr>
          <w:rFonts w:hint="eastAsia"/>
          <w:sz w:val="24"/>
        </w:rPr>
        <w:t>商务报价函</w:t>
      </w:r>
    </w:p>
    <w:p w14:paraId="65A129E5">
      <w:pPr>
        <w:spacing w:line="500" w:lineRule="exact"/>
        <w:ind w:firstLine="480" w:firstLineChars="200"/>
        <w:rPr>
          <w:sz w:val="24"/>
        </w:rPr>
      </w:pPr>
      <w:r>
        <w:rPr>
          <w:sz w:val="24"/>
        </w:rPr>
        <w:t>（</w:t>
      </w:r>
      <w:r>
        <w:rPr>
          <w:rFonts w:hint="eastAsia"/>
          <w:sz w:val="24"/>
        </w:rPr>
        <w:t>6</w:t>
      </w:r>
      <w:r>
        <w:rPr>
          <w:sz w:val="24"/>
        </w:rPr>
        <w:t>）</w:t>
      </w:r>
      <w:r>
        <w:rPr>
          <w:rFonts w:hint="eastAsia"/>
          <w:sz w:val="24"/>
        </w:rPr>
        <w:t>专家名单</w:t>
      </w:r>
    </w:p>
    <w:p w14:paraId="72D12D66">
      <w:pPr>
        <w:spacing w:line="500" w:lineRule="exact"/>
        <w:ind w:firstLine="480" w:firstLineChars="200"/>
        <w:rPr>
          <w:sz w:val="24"/>
        </w:rPr>
      </w:pPr>
      <w:r>
        <w:rPr>
          <w:sz w:val="24"/>
        </w:rPr>
        <w:t>（</w:t>
      </w:r>
      <w:r>
        <w:rPr>
          <w:rFonts w:hint="eastAsia"/>
          <w:sz w:val="24"/>
        </w:rPr>
        <w:t>7）服务方案</w:t>
      </w:r>
    </w:p>
    <w:p w14:paraId="5DC7A1E2">
      <w:pPr>
        <w:spacing w:line="500" w:lineRule="exact"/>
        <w:ind w:firstLine="480" w:firstLineChars="200"/>
        <w:rPr>
          <w:sz w:val="24"/>
        </w:rPr>
      </w:pPr>
      <w:r>
        <w:rPr>
          <w:sz w:val="24"/>
        </w:rPr>
        <w:t>（</w:t>
      </w:r>
      <w:r>
        <w:rPr>
          <w:rFonts w:hint="eastAsia"/>
          <w:sz w:val="24"/>
        </w:rPr>
        <w:t>8</w:t>
      </w:r>
      <w:r>
        <w:rPr>
          <w:sz w:val="24"/>
        </w:rPr>
        <w:t>）</w:t>
      </w:r>
      <w:r>
        <w:rPr>
          <w:rFonts w:hint="eastAsia"/>
          <w:sz w:val="24"/>
        </w:rPr>
        <w:t>其他证明相关资料</w:t>
      </w:r>
    </w:p>
    <w:p w14:paraId="4E9A3072">
      <w:pPr>
        <w:spacing w:line="500" w:lineRule="exact"/>
        <w:ind w:firstLine="480" w:firstLineChars="200"/>
        <w:rPr>
          <w:sz w:val="24"/>
        </w:rPr>
      </w:pPr>
      <w:r>
        <w:rPr>
          <w:rFonts w:hint="eastAsia"/>
          <w:sz w:val="24"/>
        </w:rPr>
        <w:t xml:space="preserve"> 据此参选书，我公司及签字代表宣布同意如下：</w:t>
      </w:r>
    </w:p>
    <w:p w14:paraId="0C415AFC">
      <w:pPr>
        <w:spacing w:line="500" w:lineRule="exact"/>
        <w:rPr>
          <w:sz w:val="24"/>
        </w:rPr>
      </w:pPr>
      <w:r>
        <w:rPr>
          <w:rFonts w:hint="eastAsia"/>
          <w:sz w:val="24"/>
        </w:rPr>
        <w:t xml:space="preserve">     1、所递交的文件真实合法有效，且不存在任何虚假陈述或记载。</w:t>
      </w:r>
    </w:p>
    <w:p w14:paraId="424C39A8">
      <w:pPr>
        <w:spacing w:line="500" w:lineRule="exact"/>
        <w:rPr>
          <w:sz w:val="24"/>
        </w:rPr>
      </w:pPr>
      <w:r>
        <w:rPr>
          <w:rFonts w:hint="eastAsia"/>
          <w:sz w:val="24"/>
        </w:rPr>
        <w:t xml:space="preserve">     2、我方将履行比选文件规定的每一项要求：如业主中选，将严格按照服务合同约定履行各项义务。</w:t>
      </w:r>
    </w:p>
    <w:p w14:paraId="014CC025">
      <w:pPr>
        <w:spacing w:line="500" w:lineRule="exact"/>
        <w:rPr>
          <w:sz w:val="24"/>
        </w:rPr>
      </w:pPr>
      <w:r>
        <w:rPr>
          <w:rFonts w:hint="eastAsia"/>
          <w:sz w:val="24"/>
        </w:rPr>
        <w:t xml:space="preserve">     3、我公司报价有效期为比选文件收取时间截止期后30个工作日，如中选，有效期将延长至合同执行完毕。</w:t>
      </w:r>
    </w:p>
    <w:p w14:paraId="7874044F">
      <w:pPr>
        <w:spacing w:line="500" w:lineRule="exact"/>
        <w:ind w:firstLine="480" w:firstLineChars="200"/>
        <w:rPr>
          <w:sz w:val="24"/>
        </w:rPr>
      </w:pPr>
    </w:p>
    <w:p w14:paraId="15D645BC">
      <w:pPr>
        <w:spacing w:line="500" w:lineRule="exact"/>
        <w:ind w:firstLine="480" w:firstLineChars="200"/>
        <w:rPr>
          <w:sz w:val="24"/>
        </w:rPr>
      </w:pPr>
      <w:r>
        <w:rPr>
          <w:rFonts w:hint="eastAsia"/>
          <w:sz w:val="24"/>
        </w:rPr>
        <w:t>被授权代表姓名：</w:t>
      </w:r>
    </w:p>
    <w:p w14:paraId="583E060D">
      <w:pPr>
        <w:spacing w:line="500" w:lineRule="exact"/>
        <w:ind w:firstLine="480" w:firstLineChars="200"/>
        <w:rPr>
          <w:sz w:val="24"/>
        </w:rPr>
      </w:pPr>
      <w:r>
        <w:rPr>
          <w:rFonts w:hint="eastAsia"/>
          <w:sz w:val="24"/>
        </w:rPr>
        <w:t>职          务：</w:t>
      </w:r>
    </w:p>
    <w:p w14:paraId="5E7B08DF">
      <w:pPr>
        <w:spacing w:line="500" w:lineRule="exact"/>
        <w:ind w:firstLine="480" w:firstLineChars="200"/>
        <w:rPr>
          <w:sz w:val="24"/>
        </w:rPr>
      </w:pPr>
      <w:r>
        <w:rPr>
          <w:rFonts w:hint="eastAsia"/>
          <w:sz w:val="24"/>
        </w:rPr>
        <w:t>联系方式及邮箱：</w:t>
      </w:r>
    </w:p>
    <w:p w14:paraId="31103F49">
      <w:pPr>
        <w:spacing w:line="500" w:lineRule="exact"/>
        <w:ind w:firstLine="480" w:firstLineChars="200"/>
        <w:rPr>
          <w:sz w:val="24"/>
        </w:rPr>
      </w:pPr>
      <w:r>
        <w:rPr>
          <w:rFonts w:hint="eastAsia"/>
          <w:sz w:val="24"/>
        </w:rPr>
        <w:t>被授权代表签字：</w:t>
      </w:r>
    </w:p>
    <w:p w14:paraId="5758990D">
      <w:pPr>
        <w:pStyle w:val="38"/>
      </w:pPr>
    </w:p>
    <w:p w14:paraId="7CF47723">
      <w:pPr>
        <w:pStyle w:val="38"/>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14:paraId="498B7DBD">
      <w:pPr>
        <w:pStyle w:val="38"/>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0763979A">
      <w:r>
        <w:br w:type="page"/>
      </w:r>
    </w:p>
    <w:p w14:paraId="12BB9D8E">
      <w:pPr>
        <w:spacing w:line="500" w:lineRule="exact"/>
        <w:jc w:val="center"/>
        <w:rPr>
          <w:rFonts w:hint="eastAsia" w:ascii="黑体" w:hAnsi="黑体" w:eastAsia="黑体"/>
          <w:b/>
          <w:bCs/>
          <w:sz w:val="30"/>
          <w:szCs w:val="30"/>
        </w:rPr>
      </w:pPr>
      <w:r>
        <w:rPr>
          <w:rFonts w:hint="eastAsia" w:ascii="黑体" w:hAnsi="黑体" w:eastAsia="黑体"/>
          <w:b/>
          <w:bCs/>
          <w:color w:val="FF0000"/>
          <w:sz w:val="30"/>
          <w:szCs w:val="30"/>
        </w:rPr>
        <w:t>三、</w:t>
      </w:r>
      <w:r>
        <w:rPr>
          <w:rFonts w:hint="eastAsia" w:ascii="黑体" w:hAnsi="黑体" w:eastAsia="黑体"/>
          <w:b/>
          <w:bCs/>
          <w:sz w:val="30"/>
          <w:szCs w:val="30"/>
        </w:rPr>
        <w:t>法定代表人授权书</w:t>
      </w:r>
    </w:p>
    <w:p w14:paraId="42980350">
      <w:pPr>
        <w:pStyle w:val="38"/>
        <w:jc w:val="center"/>
      </w:pPr>
    </w:p>
    <w:p w14:paraId="5CC3ECC7">
      <w:pPr>
        <w:pStyle w:val="2"/>
        <w:spacing w:line="480" w:lineRule="exact"/>
        <w:ind w:right="121" w:firstLine="420" w:firstLineChars="200"/>
        <w:rPr>
          <w:rFonts w:hint="eastAsia" w:asciiTheme="minorEastAsia" w:hAnsiTheme="minorEastAsia" w:eastAsiaTheme="minorEastAsia"/>
          <w:color w:val="000000" w:themeColor="text1"/>
          <w:shd w:val="clear" w:color="auto" w:fill="FFFFFF"/>
          <w14:textFill>
            <w14:solidFill>
              <w14:schemeClr w14:val="tx1"/>
            </w14:solidFill>
          </w14:textFill>
        </w:rPr>
      </w:pPr>
      <w:r>
        <w:rPr>
          <w:rFonts w:hint="eastAsia"/>
        </w:rPr>
        <w:t>本授权书声明：注册于</w:t>
      </w:r>
      <w:r>
        <w:rPr>
          <w:rFonts w:hint="eastAsia"/>
          <w:color w:val="00B050"/>
          <w:u w:val="single"/>
        </w:rPr>
        <w:t>注册地址</w:t>
      </w:r>
      <w:r>
        <w:rPr>
          <w:rFonts w:hint="eastAsia"/>
        </w:rPr>
        <w:t>的</w:t>
      </w:r>
      <w:r>
        <w:rPr>
          <w:rFonts w:hint="eastAsia"/>
          <w:color w:val="00B050"/>
          <w:u w:val="single"/>
        </w:rPr>
        <w:t>公司名称</w:t>
      </w:r>
      <w:r>
        <w:rPr>
          <w:rFonts w:hint="eastAsia"/>
        </w:rPr>
        <w:t>的在下方签字（或签章）的</w:t>
      </w:r>
      <w:r>
        <w:rPr>
          <w:rFonts w:hint="eastAsia"/>
          <w:color w:val="00B050"/>
          <w:u w:val="single"/>
        </w:rPr>
        <w:t>法人代表姓名</w:t>
      </w:r>
      <w:r>
        <w:rPr>
          <w:rFonts w:hint="eastAsia"/>
        </w:rPr>
        <w:t>代表本公司授权</w:t>
      </w:r>
      <w:r>
        <w:rPr>
          <w:rFonts w:hint="eastAsia"/>
          <w:color w:val="00B050"/>
          <w:u w:val="single"/>
        </w:rPr>
        <w:t>被授权代表人姓名、职务</w:t>
      </w:r>
      <w:r>
        <w:rPr>
          <w:rFonts w:hint="eastAsia"/>
        </w:rPr>
        <w:t>为本公司的合法代理人，就</w:t>
      </w:r>
      <w:r>
        <w:rPr>
          <w:rFonts w:hint="eastAsia"/>
          <w:u w:val="single"/>
        </w:rPr>
        <w:t>福建福化古雷石油化工有限公司化工企业安全、工艺、设备管理体系评审技术服务项目</w:t>
      </w:r>
      <w:r>
        <w:rPr>
          <w:rFonts w:hint="eastAsia"/>
        </w:rPr>
        <w:t>公开自主比选，以本公司名义参与报价、合同执行并处理与之有关的其他事务，相关责任及后果由本公司承担。</w:t>
      </w:r>
    </w:p>
    <w:p w14:paraId="635F6A87">
      <w:pPr>
        <w:spacing w:line="580" w:lineRule="exact"/>
        <w:ind w:firstLine="480" w:firstLineChars="200"/>
        <w:rPr>
          <w:sz w:val="24"/>
        </w:rPr>
      </w:pPr>
      <w:r>
        <w:rPr>
          <w:rFonts w:hint="eastAsia"/>
          <w:sz w:val="24"/>
        </w:rPr>
        <w:t>本授权书于</w:t>
      </w:r>
      <w:r>
        <w:rPr>
          <w:rFonts w:hint="eastAsia"/>
          <w:color w:val="00B050"/>
          <w:sz w:val="24"/>
          <w:u w:val="single"/>
        </w:rPr>
        <w:t>20</w:t>
      </w:r>
      <w:r>
        <w:rPr>
          <w:color w:val="00B050"/>
          <w:sz w:val="24"/>
          <w:u w:val="single"/>
        </w:rPr>
        <w:t>25</w:t>
      </w:r>
      <w:r>
        <w:rPr>
          <w:rFonts w:hint="eastAsia"/>
          <w:color w:val="00B050"/>
          <w:sz w:val="24"/>
          <w:u w:val="single"/>
        </w:rPr>
        <w:t>年  月   日</w:t>
      </w:r>
      <w:r>
        <w:rPr>
          <w:rFonts w:hint="eastAsia"/>
          <w:sz w:val="24"/>
        </w:rPr>
        <w:t>生效，本授权书有效期至此次报价，以及合同履行完毕时止。</w:t>
      </w:r>
    </w:p>
    <w:p w14:paraId="5E86ADE2">
      <w:pPr>
        <w:spacing w:line="580" w:lineRule="exact"/>
        <w:ind w:firstLine="480" w:firstLineChars="200"/>
        <w:rPr>
          <w:sz w:val="24"/>
        </w:rPr>
      </w:pPr>
      <w:r>
        <w:rPr>
          <w:rFonts w:hint="eastAsia"/>
          <w:sz w:val="24"/>
        </w:rPr>
        <w:t>特此声明。</w:t>
      </w:r>
    </w:p>
    <w:p w14:paraId="6FC9A611">
      <w:pPr>
        <w:pStyle w:val="38"/>
        <w:spacing w:line="480" w:lineRule="exact"/>
        <w:rPr>
          <w:sz w:val="24"/>
          <w:szCs w:val="24"/>
        </w:rPr>
      </w:pPr>
    </w:p>
    <w:p w14:paraId="25F4DAC1">
      <w:pPr>
        <w:spacing w:line="500" w:lineRule="exact"/>
        <w:rPr>
          <w:sz w:val="24"/>
        </w:rPr>
      </w:pPr>
      <w:r>
        <w:rPr>
          <w:rFonts w:hint="eastAsia"/>
          <w:sz w:val="24"/>
        </w:rPr>
        <w:t xml:space="preserve">    法人代表（签字）：</w:t>
      </w:r>
    </w:p>
    <w:p w14:paraId="3D78EC44">
      <w:pPr>
        <w:spacing w:line="500" w:lineRule="exact"/>
        <w:rPr>
          <w:sz w:val="24"/>
        </w:rPr>
      </w:pPr>
    </w:p>
    <w:p w14:paraId="630CB17C">
      <w:pPr>
        <w:spacing w:line="500" w:lineRule="exact"/>
        <w:rPr>
          <w:sz w:val="24"/>
        </w:rPr>
      </w:pPr>
      <w:r>
        <w:rPr>
          <w:rFonts w:hint="eastAsia"/>
          <w:sz w:val="24"/>
        </w:rPr>
        <w:t xml:space="preserve">    被授权代表（签字）：</w:t>
      </w:r>
    </w:p>
    <w:p w14:paraId="7901D881">
      <w:pPr>
        <w:spacing w:line="500" w:lineRule="exact"/>
        <w:rPr>
          <w:sz w:val="24"/>
        </w:rPr>
      </w:pPr>
    </w:p>
    <w:p w14:paraId="56DBD3BC">
      <w:pPr>
        <w:pStyle w:val="38"/>
      </w:pPr>
    </w:p>
    <w:p w14:paraId="4A56AB56">
      <w:pPr>
        <w:pStyle w:val="38"/>
      </w:pPr>
    </w:p>
    <w:p w14:paraId="79F7EC7D">
      <w:pPr>
        <w:pStyle w:val="38"/>
      </w:pPr>
    </w:p>
    <w:p w14:paraId="373866FB">
      <w:pPr>
        <w:pStyle w:val="38"/>
      </w:pPr>
    </w:p>
    <w:p w14:paraId="09D3707F">
      <w:pPr>
        <w:pStyle w:val="38"/>
        <w:jc w:val="center"/>
        <w:rPr>
          <w:color w:val="4E6127"/>
        </w:rPr>
      </w:pPr>
      <w:r>
        <w:rPr>
          <w:rFonts w:hint="eastAsia"/>
          <w:sz w:val="24"/>
          <w:szCs w:val="24"/>
        </w:rPr>
        <w:t xml:space="preserve">               单位名称：</w:t>
      </w:r>
      <w:r>
        <w:rPr>
          <w:rFonts w:hint="eastAsia" w:hAnsi="宋体"/>
          <w:color w:val="00B050"/>
          <w:kern w:val="2"/>
          <w:sz w:val="28"/>
          <w:szCs w:val="28"/>
        </w:rPr>
        <w:t>（公章）</w:t>
      </w:r>
    </w:p>
    <w:p w14:paraId="0F8F6C4A">
      <w:pPr>
        <w:pStyle w:val="38"/>
        <w:jc w:val="center"/>
        <w:rPr>
          <w:color w:val="4E6127"/>
        </w:rPr>
      </w:pPr>
    </w:p>
    <w:p w14:paraId="0C3A168C">
      <w:pPr>
        <w:pStyle w:val="38"/>
        <w:jc w:val="center"/>
      </w:pPr>
    </w:p>
    <w:p w14:paraId="2B7FAD29">
      <w:pPr>
        <w:pStyle w:val="38"/>
        <w:jc w:val="center"/>
      </w:pPr>
    </w:p>
    <w:p w14:paraId="5C22CF7D">
      <w:r>
        <w:br w:type="page"/>
      </w:r>
    </w:p>
    <w:p w14:paraId="3E7EE732">
      <w:pPr>
        <w:spacing w:line="500" w:lineRule="exact"/>
        <w:jc w:val="center"/>
        <w:rPr>
          <w:rFonts w:hint="eastAsia" w:ascii="黑体" w:hAnsi="黑体" w:eastAsia="黑体"/>
          <w:b/>
          <w:bCs/>
          <w:sz w:val="30"/>
          <w:szCs w:val="30"/>
        </w:rPr>
      </w:pPr>
      <w:r>
        <w:rPr>
          <w:rFonts w:hint="eastAsia" w:ascii="黑体" w:hAnsi="黑体" w:eastAsia="黑体"/>
          <w:b/>
          <w:bCs/>
          <w:sz w:val="30"/>
          <w:szCs w:val="30"/>
        </w:rPr>
        <w:t>法定代表人身份证复印件</w:t>
      </w:r>
    </w:p>
    <w:p w14:paraId="25783B83">
      <w:pPr>
        <w:spacing w:line="500" w:lineRule="exact"/>
        <w:jc w:val="center"/>
        <w:rPr>
          <w:b/>
          <w:bCs/>
          <w:color w:val="4E6127"/>
          <w:sz w:val="36"/>
          <w:szCs w:val="36"/>
        </w:rPr>
      </w:pPr>
    </w:p>
    <w:p w14:paraId="108FDBF9">
      <w:pPr>
        <w:spacing w:line="500" w:lineRule="exact"/>
        <w:jc w:val="center"/>
        <w:rPr>
          <w:b/>
          <w:bCs/>
          <w:color w:val="4E6127"/>
          <w:sz w:val="36"/>
          <w:szCs w:val="36"/>
        </w:rPr>
      </w:pPr>
    </w:p>
    <w:p w14:paraId="79F68897">
      <w:pPr>
        <w:spacing w:line="500" w:lineRule="exact"/>
        <w:jc w:val="center"/>
        <w:rPr>
          <w:b/>
          <w:bCs/>
          <w:color w:val="4E6127"/>
          <w:sz w:val="36"/>
          <w:szCs w:val="36"/>
        </w:rPr>
      </w:pPr>
    </w:p>
    <w:p w14:paraId="01E2FE59">
      <w:pPr>
        <w:spacing w:line="500" w:lineRule="exact"/>
        <w:jc w:val="center"/>
        <w:rPr>
          <w:b/>
          <w:bCs/>
          <w:color w:val="4E6127"/>
          <w:sz w:val="36"/>
          <w:szCs w:val="36"/>
        </w:rPr>
      </w:pPr>
    </w:p>
    <w:p w14:paraId="7C44489C">
      <w:pPr>
        <w:spacing w:line="500" w:lineRule="exact"/>
        <w:jc w:val="center"/>
        <w:rPr>
          <w:b/>
          <w:bCs/>
          <w:color w:val="4E6127"/>
          <w:sz w:val="36"/>
          <w:szCs w:val="36"/>
        </w:rPr>
      </w:pPr>
    </w:p>
    <w:p w14:paraId="62A29649">
      <w:pPr>
        <w:spacing w:line="500" w:lineRule="exact"/>
        <w:jc w:val="center"/>
        <w:rPr>
          <w:b/>
          <w:bCs/>
          <w:color w:val="4E6127"/>
          <w:sz w:val="36"/>
          <w:szCs w:val="36"/>
        </w:rPr>
      </w:pPr>
    </w:p>
    <w:p w14:paraId="126C6AFB">
      <w:pPr>
        <w:spacing w:line="500" w:lineRule="exact"/>
        <w:jc w:val="center"/>
        <w:rPr>
          <w:b/>
          <w:bCs/>
          <w:color w:val="4E6127"/>
          <w:sz w:val="36"/>
          <w:szCs w:val="36"/>
        </w:rPr>
      </w:pPr>
    </w:p>
    <w:p w14:paraId="6450C758">
      <w:pPr>
        <w:spacing w:line="500" w:lineRule="exact"/>
        <w:jc w:val="center"/>
        <w:rPr>
          <w:b/>
          <w:bCs/>
          <w:color w:val="4E6127"/>
          <w:sz w:val="36"/>
          <w:szCs w:val="36"/>
        </w:rPr>
      </w:pPr>
    </w:p>
    <w:p w14:paraId="09FC6299">
      <w:pPr>
        <w:spacing w:line="500" w:lineRule="exact"/>
        <w:jc w:val="center"/>
        <w:rPr>
          <w:b/>
          <w:bCs/>
          <w:color w:val="4E6127"/>
          <w:sz w:val="36"/>
          <w:szCs w:val="36"/>
        </w:rPr>
      </w:pPr>
    </w:p>
    <w:p w14:paraId="325F4314">
      <w:pPr>
        <w:spacing w:line="500" w:lineRule="exact"/>
        <w:jc w:val="center"/>
        <w:rPr>
          <w:b/>
          <w:bCs/>
          <w:color w:val="4E6127"/>
          <w:sz w:val="36"/>
          <w:szCs w:val="36"/>
        </w:rPr>
      </w:pPr>
    </w:p>
    <w:p w14:paraId="0B9D1249">
      <w:pPr>
        <w:pStyle w:val="38"/>
        <w:jc w:val="center"/>
        <w:rPr>
          <w:b/>
          <w:bCs/>
          <w:color w:val="4E6127"/>
          <w:sz w:val="36"/>
          <w:szCs w:val="36"/>
        </w:rPr>
      </w:pPr>
    </w:p>
    <w:p w14:paraId="23D340F4">
      <w:pPr>
        <w:spacing w:line="500" w:lineRule="exact"/>
        <w:jc w:val="center"/>
        <w:rPr>
          <w:rFonts w:hint="eastAsia" w:ascii="黑体" w:hAnsi="黑体" w:eastAsia="黑体"/>
          <w:b/>
          <w:bCs/>
          <w:sz w:val="30"/>
          <w:szCs w:val="30"/>
        </w:rPr>
      </w:pPr>
      <w:r>
        <w:rPr>
          <w:rFonts w:hint="eastAsia" w:ascii="黑体" w:hAnsi="黑体" w:eastAsia="黑体"/>
          <w:b/>
          <w:bCs/>
          <w:sz w:val="30"/>
          <w:szCs w:val="30"/>
        </w:rPr>
        <w:t>被授权代表人身份证复印件</w:t>
      </w:r>
    </w:p>
    <w:p w14:paraId="7A6FA096">
      <w:pPr>
        <w:spacing w:line="500" w:lineRule="exact"/>
        <w:jc w:val="center"/>
        <w:rPr>
          <w:b/>
          <w:bCs/>
          <w:color w:val="4E6127"/>
          <w:sz w:val="36"/>
          <w:szCs w:val="36"/>
        </w:rPr>
      </w:pPr>
    </w:p>
    <w:p w14:paraId="2770936E">
      <w:pPr>
        <w:spacing w:line="500" w:lineRule="exact"/>
        <w:jc w:val="center"/>
        <w:rPr>
          <w:b/>
          <w:bCs/>
          <w:sz w:val="36"/>
          <w:szCs w:val="36"/>
        </w:rPr>
      </w:pPr>
    </w:p>
    <w:p w14:paraId="24D49D08">
      <w:pPr>
        <w:spacing w:line="500" w:lineRule="exact"/>
        <w:jc w:val="center"/>
        <w:rPr>
          <w:b/>
          <w:bCs/>
          <w:sz w:val="36"/>
          <w:szCs w:val="36"/>
        </w:rPr>
      </w:pPr>
    </w:p>
    <w:p w14:paraId="0B990CFB">
      <w:pPr>
        <w:spacing w:line="500" w:lineRule="exact"/>
        <w:jc w:val="center"/>
        <w:rPr>
          <w:b/>
          <w:bCs/>
          <w:sz w:val="36"/>
          <w:szCs w:val="36"/>
        </w:rPr>
      </w:pPr>
    </w:p>
    <w:p w14:paraId="0993C131">
      <w:pPr>
        <w:spacing w:line="500" w:lineRule="exact"/>
        <w:jc w:val="center"/>
        <w:rPr>
          <w:b/>
          <w:bCs/>
          <w:sz w:val="36"/>
          <w:szCs w:val="36"/>
        </w:rPr>
      </w:pPr>
    </w:p>
    <w:p w14:paraId="04673DA3">
      <w:pPr>
        <w:spacing w:line="500" w:lineRule="exact"/>
        <w:jc w:val="center"/>
        <w:rPr>
          <w:b/>
          <w:bCs/>
          <w:color w:val="4E6127"/>
          <w:sz w:val="36"/>
          <w:szCs w:val="36"/>
        </w:rPr>
      </w:pPr>
    </w:p>
    <w:p w14:paraId="07B4389C">
      <w:pPr>
        <w:spacing w:line="500" w:lineRule="exact"/>
        <w:jc w:val="center"/>
        <w:rPr>
          <w:b/>
          <w:bCs/>
          <w:color w:val="4E6127"/>
          <w:sz w:val="36"/>
          <w:szCs w:val="36"/>
        </w:rPr>
      </w:pPr>
    </w:p>
    <w:p w14:paraId="27EC7A76">
      <w:pPr>
        <w:spacing w:line="500" w:lineRule="exact"/>
        <w:jc w:val="center"/>
        <w:rPr>
          <w:b/>
          <w:bCs/>
          <w:color w:val="4E6127"/>
          <w:sz w:val="36"/>
          <w:szCs w:val="36"/>
        </w:rPr>
      </w:pPr>
    </w:p>
    <w:p w14:paraId="3622C6C7">
      <w:pPr>
        <w:spacing w:line="500" w:lineRule="exact"/>
        <w:jc w:val="center"/>
        <w:rPr>
          <w:b/>
          <w:bCs/>
          <w:color w:val="4E6127"/>
          <w:sz w:val="36"/>
          <w:szCs w:val="36"/>
        </w:rPr>
      </w:pPr>
    </w:p>
    <w:p w14:paraId="6F3085D3">
      <w:pPr>
        <w:spacing w:line="500" w:lineRule="exact"/>
        <w:jc w:val="center"/>
        <w:rPr>
          <w:b/>
          <w:bCs/>
          <w:color w:val="4E6127"/>
          <w:sz w:val="36"/>
          <w:szCs w:val="36"/>
        </w:rPr>
      </w:pPr>
    </w:p>
    <w:p w14:paraId="338ADF12">
      <w:pPr>
        <w:spacing w:line="500" w:lineRule="exact"/>
        <w:jc w:val="center"/>
        <w:rPr>
          <w:b/>
          <w:bCs/>
          <w:color w:val="4E6127"/>
          <w:sz w:val="36"/>
          <w:szCs w:val="36"/>
        </w:rPr>
      </w:pPr>
    </w:p>
    <w:p w14:paraId="719C9346">
      <w:pPr>
        <w:pStyle w:val="43"/>
        <w:spacing w:beforeLines="0" w:afterLines="0" w:line="240" w:lineRule="auto"/>
        <w:ind w:firstLine="0" w:firstLineChars="0"/>
        <w:jc w:val="center"/>
        <w:rPr>
          <w:rFonts w:ascii="Times New Roman" w:hAnsi="Times New Roman" w:cs="Times New Roman"/>
          <w:b/>
          <w:sz w:val="36"/>
          <w:szCs w:val="36"/>
          <w:lang w:eastAsia="zh-CN"/>
        </w:rPr>
      </w:pPr>
    </w:p>
    <w:p w14:paraId="1ECAC730">
      <w:r>
        <w:br w:type="page"/>
      </w:r>
    </w:p>
    <w:p w14:paraId="64483F7F">
      <w:pPr>
        <w:pStyle w:val="43"/>
        <w:spacing w:beforeLines="0" w:afterLines="0" w:line="240" w:lineRule="auto"/>
        <w:ind w:firstLine="0" w:firstLineChars="0"/>
        <w:jc w:val="center"/>
        <w:rPr>
          <w:rFonts w:ascii="Times New Roman" w:hAnsi="Times New Roman" w:cs="Times New Roman"/>
          <w:b/>
          <w:sz w:val="36"/>
          <w:szCs w:val="36"/>
          <w:lang w:eastAsia="zh-CN"/>
        </w:rPr>
      </w:pPr>
      <w:r>
        <w:rPr>
          <w:rFonts w:hint="eastAsia" w:ascii="黑体" w:hAnsi="黑体" w:eastAsia="黑体" w:cstheme="minorBidi"/>
          <w:b/>
          <w:color w:val="FF0000"/>
          <w:kern w:val="2"/>
          <w:sz w:val="30"/>
          <w:szCs w:val="30"/>
          <w:lang w:eastAsia="zh-CN"/>
        </w:rPr>
        <w:t>四、</w:t>
      </w:r>
      <w:r>
        <w:rPr>
          <w:rFonts w:hint="eastAsia" w:ascii="黑体" w:hAnsi="黑体" w:eastAsia="黑体" w:cstheme="minorBidi"/>
          <w:b/>
          <w:kern w:val="2"/>
          <w:sz w:val="30"/>
          <w:szCs w:val="30"/>
          <w:lang w:eastAsia="zh-CN"/>
        </w:rPr>
        <w:t>企业概况</w:t>
      </w:r>
    </w:p>
    <w:p w14:paraId="42B8DAC8">
      <w:pPr>
        <w:pStyle w:val="43"/>
        <w:spacing w:beforeLines="0" w:afterLines="0" w:line="240" w:lineRule="auto"/>
        <w:ind w:firstLine="0" w:firstLineChars="0"/>
        <w:jc w:val="center"/>
        <w:rPr>
          <w:rFonts w:hint="eastAsia"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14:paraId="48ADF6DC">
      <w:pPr>
        <w:pStyle w:val="38"/>
        <w:jc w:val="center"/>
        <w:rPr>
          <w:color w:val="FF0000"/>
        </w:rPr>
      </w:pPr>
    </w:p>
    <w:p w14:paraId="54E42558">
      <w:pPr>
        <w:pStyle w:val="38"/>
        <w:jc w:val="center"/>
      </w:pPr>
    </w:p>
    <w:p w14:paraId="4F798F7D">
      <w:pPr>
        <w:pStyle w:val="38"/>
        <w:jc w:val="center"/>
      </w:pPr>
    </w:p>
    <w:p w14:paraId="0582852E">
      <w:pPr>
        <w:pStyle w:val="38"/>
        <w:jc w:val="center"/>
      </w:pPr>
    </w:p>
    <w:p w14:paraId="7B3BF639">
      <w:pPr>
        <w:pStyle w:val="38"/>
        <w:jc w:val="center"/>
      </w:pPr>
    </w:p>
    <w:p w14:paraId="4661D19B">
      <w:pPr>
        <w:spacing w:line="500" w:lineRule="exact"/>
        <w:jc w:val="center"/>
        <w:rPr>
          <w:b/>
          <w:bCs/>
          <w:sz w:val="36"/>
          <w:szCs w:val="36"/>
        </w:rPr>
      </w:pPr>
    </w:p>
    <w:p w14:paraId="31B30C8A">
      <w:pPr>
        <w:spacing w:line="500" w:lineRule="exact"/>
        <w:jc w:val="center"/>
        <w:rPr>
          <w:rFonts w:hint="eastAsia" w:ascii="黑体" w:hAnsi="黑体" w:eastAsia="黑体"/>
          <w:b/>
          <w:bCs/>
          <w:sz w:val="30"/>
          <w:szCs w:val="30"/>
        </w:rPr>
      </w:pPr>
      <w:r>
        <w:rPr>
          <w:rFonts w:hint="eastAsia" w:ascii="黑体" w:hAnsi="黑体" w:eastAsia="黑体"/>
          <w:b/>
          <w:bCs/>
          <w:sz w:val="30"/>
          <w:szCs w:val="30"/>
        </w:rPr>
        <w:t>营业执照复印件</w:t>
      </w:r>
    </w:p>
    <w:p w14:paraId="3CF4CCD2">
      <w:pPr>
        <w:pStyle w:val="38"/>
        <w:jc w:val="center"/>
      </w:pPr>
    </w:p>
    <w:p w14:paraId="16626118">
      <w:pPr>
        <w:pStyle w:val="38"/>
        <w:jc w:val="center"/>
      </w:pPr>
    </w:p>
    <w:p w14:paraId="57339029">
      <w:pPr>
        <w:pStyle w:val="38"/>
        <w:jc w:val="center"/>
      </w:pPr>
    </w:p>
    <w:p w14:paraId="702E68CE">
      <w:pPr>
        <w:pStyle w:val="38"/>
        <w:jc w:val="center"/>
      </w:pPr>
    </w:p>
    <w:p w14:paraId="3F77A6F7">
      <w:pPr>
        <w:pStyle w:val="38"/>
        <w:jc w:val="center"/>
      </w:pPr>
    </w:p>
    <w:p w14:paraId="6C4D1C95">
      <w:pPr>
        <w:pStyle w:val="38"/>
        <w:jc w:val="center"/>
      </w:pPr>
    </w:p>
    <w:p w14:paraId="654E6B93">
      <w:pPr>
        <w:pStyle w:val="38"/>
        <w:jc w:val="center"/>
      </w:pPr>
    </w:p>
    <w:p w14:paraId="0C81D287">
      <w:pPr>
        <w:pStyle w:val="38"/>
        <w:jc w:val="center"/>
        <w:rPr>
          <w:rFonts w:hint="eastAsia" w:ascii="黑体" w:hAnsi="黑体" w:eastAsia="黑体" w:cstheme="minorBidi"/>
          <w:b/>
          <w:bCs/>
          <w:kern w:val="2"/>
          <w:sz w:val="30"/>
          <w:szCs w:val="30"/>
        </w:rPr>
      </w:pPr>
      <w:r>
        <w:rPr>
          <w:rFonts w:hint="eastAsia" w:ascii="黑体" w:hAnsi="黑体" w:eastAsia="黑体" w:cstheme="minorBidi"/>
          <w:b/>
          <w:bCs/>
          <w:kern w:val="2"/>
          <w:sz w:val="30"/>
          <w:szCs w:val="30"/>
        </w:rPr>
        <w:t>业绩证明</w:t>
      </w:r>
    </w:p>
    <w:p w14:paraId="6B763CA3">
      <w:pPr>
        <w:pStyle w:val="43"/>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14:paraId="320130E0">
      <w:pPr>
        <w:pStyle w:val="38"/>
        <w:jc w:val="center"/>
      </w:pPr>
    </w:p>
    <w:p w14:paraId="72BCDE5C">
      <w:pPr>
        <w:pStyle w:val="38"/>
        <w:jc w:val="center"/>
      </w:pPr>
    </w:p>
    <w:p w14:paraId="52AB5938">
      <w:pPr>
        <w:pStyle w:val="38"/>
        <w:jc w:val="center"/>
      </w:pPr>
    </w:p>
    <w:p w14:paraId="128AA578">
      <w:pPr>
        <w:pStyle w:val="38"/>
        <w:jc w:val="center"/>
      </w:pPr>
    </w:p>
    <w:p w14:paraId="6BFAA430">
      <w:r>
        <w:br w:type="page"/>
      </w:r>
    </w:p>
    <w:p w14:paraId="0979BD1A">
      <w:pPr>
        <w:spacing w:line="360" w:lineRule="auto"/>
        <w:jc w:val="center"/>
        <w:rPr>
          <w:rFonts w:hint="eastAsia" w:ascii="黑体" w:hAnsi="黑体" w:eastAsia="黑体"/>
          <w:b/>
          <w:bCs/>
          <w:sz w:val="30"/>
          <w:szCs w:val="30"/>
        </w:rPr>
      </w:pPr>
      <w:r>
        <w:rPr>
          <w:rFonts w:hint="eastAsia" w:ascii="黑体" w:hAnsi="黑体" w:eastAsia="黑体"/>
          <w:b/>
          <w:bCs/>
          <w:color w:val="FF0000"/>
          <w:sz w:val="30"/>
          <w:szCs w:val="30"/>
        </w:rPr>
        <w:t>五、</w:t>
      </w:r>
      <w:r>
        <w:rPr>
          <w:rFonts w:hint="eastAsia" w:ascii="黑体" w:hAnsi="黑体" w:eastAsia="黑体"/>
          <w:b/>
          <w:bCs/>
          <w:sz w:val="30"/>
          <w:szCs w:val="30"/>
        </w:rPr>
        <w:t>商务报价函</w:t>
      </w:r>
    </w:p>
    <w:p w14:paraId="1E584512">
      <w:pPr>
        <w:spacing w:line="560" w:lineRule="exact"/>
        <w:rPr>
          <w:sz w:val="24"/>
        </w:rPr>
      </w:pPr>
      <w:r>
        <w:rPr>
          <w:rFonts w:hint="eastAsia"/>
          <w:sz w:val="24"/>
        </w:rPr>
        <w:t>致：福建福化古雷石油化工有限公司</w:t>
      </w:r>
    </w:p>
    <w:p w14:paraId="3B5E86FA">
      <w:pPr>
        <w:spacing w:line="360" w:lineRule="auto"/>
        <w:ind w:firstLine="480" w:firstLineChars="200"/>
        <w:rPr>
          <w:rFonts w:hint="eastAsia" w:asciiTheme="minorEastAsia" w:hAnsiTheme="minorEastAsia"/>
          <w:sz w:val="24"/>
        </w:rPr>
      </w:pPr>
      <w:r>
        <w:rPr>
          <w:rFonts w:hint="eastAsia" w:asciiTheme="minorEastAsia" w:hAnsiTheme="minorEastAsia"/>
          <w:sz w:val="24"/>
        </w:rPr>
        <w:t>在充分研究福建福化古雷石油化工有限公司</w:t>
      </w:r>
      <w:r>
        <w:rPr>
          <w:rFonts w:hint="eastAsia" w:asciiTheme="minorEastAsia" w:hAnsiTheme="minorEastAsia"/>
          <w:sz w:val="24"/>
          <w:u w:val="single"/>
        </w:rPr>
        <w:t>化工企业安全、工艺、设备管理体系评审技术服务项目</w:t>
      </w:r>
      <w:r>
        <w:rPr>
          <w:rFonts w:hint="eastAsia" w:asciiTheme="minorEastAsia" w:hAnsiTheme="minorEastAsia"/>
          <w:sz w:val="24"/>
        </w:rPr>
        <w:t>比选文件的全部内容后，我方愿以以下报价，严格按照自主比选文件的要求，参与本项目的比选。</w:t>
      </w:r>
    </w:p>
    <w:p w14:paraId="346CEA94">
      <w:pPr>
        <w:spacing w:line="360" w:lineRule="auto"/>
        <w:jc w:val="center"/>
        <w:rPr>
          <w:rFonts w:hint="eastAsia" w:asciiTheme="minorEastAsia" w:hAnsiTheme="minorEastAsia"/>
          <w:sz w:val="24"/>
        </w:rPr>
      </w:pPr>
    </w:p>
    <w:tbl>
      <w:tblPr>
        <w:tblStyle w:val="20"/>
        <w:tblW w:w="10489" w:type="dxa"/>
        <w:jc w:val="center"/>
        <w:tblLayout w:type="autofit"/>
        <w:tblCellMar>
          <w:top w:w="0" w:type="dxa"/>
          <w:left w:w="108" w:type="dxa"/>
          <w:bottom w:w="0" w:type="dxa"/>
          <w:right w:w="108" w:type="dxa"/>
        </w:tblCellMar>
      </w:tblPr>
      <w:tblGrid>
        <w:gridCol w:w="681"/>
        <w:gridCol w:w="3400"/>
        <w:gridCol w:w="3640"/>
        <w:gridCol w:w="1300"/>
        <w:gridCol w:w="1468"/>
      </w:tblGrid>
      <w:tr w14:paraId="79750D5A">
        <w:tblPrEx>
          <w:tblCellMar>
            <w:top w:w="0" w:type="dxa"/>
            <w:left w:w="108" w:type="dxa"/>
            <w:bottom w:w="0" w:type="dxa"/>
            <w:right w:w="108" w:type="dxa"/>
          </w:tblCellMar>
        </w:tblPrEx>
        <w:trPr>
          <w:trHeight w:val="408" w:hRule="atLeast"/>
          <w:jc w:val="center"/>
        </w:trPr>
        <w:tc>
          <w:tcPr>
            <w:tcW w:w="681" w:type="dxa"/>
            <w:tcBorders>
              <w:top w:val="single" w:color="auto" w:sz="4" w:space="0"/>
              <w:left w:val="single" w:color="auto" w:sz="4" w:space="0"/>
              <w:bottom w:val="single" w:color="auto" w:sz="4" w:space="0"/>
              <w:right w:val="single" w:color="auto" w:sz="4" w:space="0"/>
            </w:tcBorders>
            <w:noWrap/>
            <w:vAlign w:val="center"/>
          </w:tcPr>
          <w:p w14:paraId="51700DBA">
            <w:pPr>
              <w:widowControl/>
              <w:jc w:val="center"/>
              <w:rPr>
                <w:rFonts w:hint="eastAsia" w:ascii="黑体" w:hAnsi="黑体" w:eastAsia="黑体" w:cs="宋体"/>
                <w:color w:val="000000"/>
                <w:kern w:val="0"/>
                <w:sz w:val="22"/>
              </w:rPr>
            </w:pPr>
            <w:r>
              <w:rPr>
                <w:rFonts w:hint="eastAsia" w:ascii="黑体" w:hAnsi="黑体" w:eastAsia="黑体" w:cs="宋体"/>
                <w:color w:val="000000"/>
                <w:kern w:val="0"/>
                <w:sz w:val="22"/>
              </w:rPr>
              <w:t>序号</w:t>
            </w:r>
          </w:p>
        </w:tc>
        <w:tc>
          <w:tcPr>
            <w:tcW w:w="3400" w:type="dxa"/>
            <w:tcBorders>
              <w:top w:val="single" w:color="auto" w:sz="4" w:space="0"/>
              <w:left w:val="nil"/>
              <w:bottom w:val="single" w:color="auto" w:sz="4" w:space="0"/>
              <w:right w:val="single" w:color="auto" w:sz="4" w:space="0"/>
            </w:tcBorders>
            <w:noWrap/>
            <w:vAlign w:val="center"/>
          </w:tcPr>
          <w:p w14:paraId="52CB69DE">
            <w:pPr>
              <w:widowControl/>
              <w:jc w:val="center"/>
              <w:rPr>
                <w:rFonts w:hint="eastAsia" w:ascii="黑体" w:hAnsi="黑体" w:eastAsia="黑体" w:cs="宋体"/>
                <w:color w:val="000000"/>
                <w:kern w:val="0"/>
                <w:sz w:val="22"/>
              </w:rPr>
            </w:pPr>
            <w:r>
              <w:rPr>
                <w:rFonts w:hint="eastAsia" w:ascii="黑体" w:hAnsi="黑体" w:eastAsia="黑体" w:cs="宋体"/>
                <w:color w:val="000000"/>
                <w:kern w:val="0"/>
                <w:sz w:val="22"/>
              </w:rPr>
              <w:t>项目单位</w:t>
            </w:r>
          </w:p>
        </w:tc>
        <w:tc>
          <w:tcPr>
            <w:tcW w:w="3640" w:type="dxa"/>
            <w:tcBorders>
              <w:top w:val="single" w:color="auto" w:sz="4" w:space="0"/>
              <w:left w:val="nil"/>
              <w:bottom w:val="single" w:color="auto" w:sz="4" w:space="0"/>
              <w:right w:val="single" w:color="auto" w:sz="4" w:space="0"/>
            </w:tcBorders>
            <w:noWrap/>
            <w:vAlign w:val="center"/>
          </w:tcPr>
          <w:p w14:paraId="60A9468F">
            <w:pPr>
              <w:widowControl/>
              <w:jc w:val="center"/>
              <w:rPr>
                <w:rFonts w:hint="eastAsia" w:ascii="黑体" w:hAnsi="黑体" w:eastAsia="黑体" w:cs="宋体"/>
                <w:color w:val="000000"/>
                <w:kern w:val="0"/>
                <w:sz w:val="22"/>
              </w:rPr>
            </w:pPr>
            <w:r>
              <w:rPr>
                <w:rFonts w:hint="eastAsia" w:ascii="黑体" w:hAnsi="黑体" w:eastAsia="黑体" w:cs="宋体"/>
                <w:color w:val="000000"/>
                <w:kern w:val="0"/>
                <w:sz w:val="22"/>
              </w:rPr>
              <w:t>项目名称</w:t>
            </w:r>
          </w:p>
        </w:tc>
        <w:tc>
          <w:tcPr>
            <w:tcW w:w="1300" w:type="dxa"/>
            <w:tcBorders>
              <w:top w:val="single" w:color="auto" w:sz="4" w:space="0"/>
              <w:left w:val="nil"/>
              <w:bottom w:val="single" w:color="auto" w:sz="4" w:space="0"/>
              <w:right w:val="single" w:color="auto" w:sz="4" w:space="0"/>
            </w:tcBorders>
            <w:noWrap/>
            <w:vAlign w:val="center"/>
          </w:tcPr>
          <w:p w14:paraId="5904BEC7">
            <w:pPr>
              <w:widowControl/>
              <w:jc w:val="center"/>
              <w:rPr>
                <w:rFonts w:hint="eastAsia" w:ascii="黑体" w:hAnsi="黑体" w:eastAsia="黑体" w:cs="宋体"/>
                <w:color w:val="000000"/>
                <w:kern w:val="0"/>
                <w:sz w:val="22"/>
              </w:rPr>
            </w:pPr>
            <w:r>
              <w:rPr>
                <w:rFonts w:hint="eastAsia" w:ascii="黑体" w:hAnsi="黑体" w:eastAsia="黑体" w:cs="宋体"/>
                <w:color w:val="000000"/>
                <w:kern w:val="0"/>
                <w:sz w:val="22"/>
              </w:rPr>
              <w:t>项目类别</w:t>
            </w:r>
          </w:p>
        </w:tc>
        <w:tc>
          <w:tcPr>
            <w:tcW w:w="1468" w:type="dxa"/>
            <w:tcBorders>
              <w:top w:val="single" w:color="auto" w:sz="4" w:space="0"/>
              <w:left w:val="nil"/>
              <w:bottom w:val="single" w:color="auto" w:sz="4" w:space="0"/>
              <w:right w:val="single" w:color="auto" w:sz="4" w:space="0"/>
            </w:tcBorders>
            <w:noWrap/>
            <w:vAlign w:val="center"/>
          </w:tcPr>
          <w:p w14:paraId="2617C88A">
            <w:pPr>
              <w:widowControl/>
              <w:jc w:val="center"/>
              <w:rPr>
                <w:rFonts w:hint="eastAsia" w:ascii="黑体" w:hAnsi="黑体" w:eastAsia="黑体" w:cs="宋体"/>
                <w:color w:val="000000"/>
                <w:kern w:val="0"/>
                <w:sz w:val="22"/>
              </w:rPr>
            </w:pPr>
            <w:r>
              <w:rPr>
                <w:rFonts w:hint="eastAsia" w:ascii="黑体" w:hAnsi="黑体" w:eastAsia="黑体" w:cs="宋体"/>
                <w:color w:val="000000"/>
                <w:kern w:val="0"/>
                <w:sz w:val="22"/>
              </w:rPr>
              <w:t>备注</w:t>
            </w:r>
          </w:p>
        </w:tc>
      </w:tr>
      <w:tr w14:paraId="78294033">
        <w:tblPrEx>
          <w:tblCellMar>
            <w:top w:w="0" w:type="dxa"/>
            <w:left w:w="108" w:type="dxa"/>
            <w:bottom w:w="0" w:type="dxa"/>
            <w:right w:w="108" w:type="dxa"/>
          </w:tblCellMar>
        </w:tblPrEx>
        <w:trPr>
          <w:trHeight w:val="579" w:hRule="atLeast"/>
          <w:jc w:val="center"/>
        </w:trPr>
        <w:tc>
          <w:tcPr>
            <w:tcW w:w="681" w:type="dxa"/>
            <w:tcBorders>
              <w:top w:val="nil"/>
              <w:left w:val="single" w:color="auto" w:sz="4" w:space="0"/>
              <w:bottom w:val="single" w:color="auto" w:sz="4" w:space="0"/>
              <w:right w:val="single" w:color="auto" w:sz="4" w:space="0"/>
            </w:tcBorders>
            <w:noWrap/>
            <w:vAlign w:val="center"/>
          </w:tcPr>
          <w:p w14:paraId="1A8E30E1">
            <w:pPr>
              <w:widowControl/>
              <w:jc w:val="center"/>
              <w:rPr>
                <w:rFonts w:hint="eastAsia" w:ascii="黑体" w:hAnsi="黑体" w:eastAsia="黑体" w:cs="宋体"/>
                <w:color w:val="000000"/>
                <w:kern w:val="0"/>
                <w:sz w:val="22"/>
              </w:rPr>
            </w:pPr>
            <w:r>
              <w:rPr>
                <w:rFonts w:hint="eastAsia" w:ascii="黑体" w:hAnsi="黑体" w:eastAsia="黑体" w:cs="宋体"/>
                <w:color w:val="000000"/>
                <w:kern w:val="0"/>
                <w:sz w:val="22"/>
              </w:rPr>
              <w:t>1</w:t>
            </w:r>
          </w:p>
        </w:tc>
        <w:tc>
          <w:tcPr>
            <w:tcW w:w="3400" w:type="dxa"/>
            <w:tcBorders>
              <w:top w:val="nil"/>
              <w:left w:val="nil"/>
              <w:bottom w:val="single" w:color="auto" w:sz="4" w:space="0"/>
              <w:right w:val="single" w:color="auto" w:sz="4" w:space="0"/>
            </w:tcBorders>
            <w:noWrap/>
            <w:vAlign w:val="center"/>
          </w:tcPr>
          <w:p w14:paraId="5BF5F2E4">
            <w:pPr>
              <w:widowControl/>
              <w:jc w:val="center"/>
              <w:rPr>
                <w:rFonts w:hint="eastAsia" w:ascii="黑体" w:hAnsi="黑体" w:eastAsia="黑体" w:cs="宋体"/>
                <w:color w:val="000000"/>
                <w:kern w:val="0"/>
                <w:sz w:val="22"/>
              </w:rPr>
            </w:pPr>
            <w:r>
              <w:rPr>
                <w:rFonts w:hint="eastAsia" w:ascii="黑体" w:hAnsi="黑体" w:eastAsia="黑体" w:cs="宋体"/>
                <w:color w:val="000000"/>
                <w:kern w:val="0"/>
                <w:sz w:val="22"/>
              </w:rPr>
              <w:t>福建福化古雷石油化工有限公司</w:t>
            </w:r>
          </w:p>
        </w:tc>
        <w:tc>
          <w:tcPr>
            <w:tcW w:w="3640" w:type="dxa"/>
            <w:tcBorders>
              <w:top w:val="nil"/>
              <w:left w:val="nil"/>
              <w:bottom w:val="single" w:color="auto" w:sz="4" w:space="0"/>
              <w:right w:val="single" w:color="auto" w:sz="4" w:space="0"/>
            </w:tcBorders>
            <w:noWrap/>
            <w:vAlign w:val="center"/>
          </w:tcPr>
          <w:p w14:paraId="0573F5CA">
            <w:pPr>
              <w:widowControl/>
              <w:jc w:val="center"/>
              <w:rPr>
                <w:rFonts w:hint="eastAsia" w:ascii="黑体" w:hAnsi="黑体" w:eastAsia="黑体" w:cs="宋体"/>
                <w:color w:val="000000"/>
                <w:kern w:val="0"/>
                <w:sz w:val="22"/>
              </w:rPr>
            </w:pPr>
            <w:r>
              <w:rPr>
                <w:rFonts w:hint="eastAsia" w:ascii="黑体" w:hAnsi="黑体" w:eastAsia="黑体" w:cs="宋体"/>
                <w:color w:val="000000"/>
                <w:kern w:val="0"/>
                <w:sz w:val="22"/>
              </w:rPr>
              <w:t>福化古雷化工企业安全、工艺、设备管理体系评审技术服务项目</w:t>
            </w:r>
          </w:p>
        </w:tc>
        <w:tc>
          <w:tcPr>
            <w:tcW w:w="1300" w:type="dxa"/>
            <w:tcBorders>
              <w:top w:val="nil"/>
              <w:left w:val="nil"/>
              <w:bottom w:val="single" w:color="auto" w:sz="4" w:space="0"/>
              <w:right w:val="single" w:color="auto" w:sz="4" w:space="0"/>
            </w:tcBorders>
            <w:noWrap/>
            <w:vAlign w:val="center"/>
          </w:tcPr>
          <w:p w14:paraId="4CA8FB82">
            <w:pPr>
              <w:widowControl/>
              <w:jc w:val="center"/>
              <w:rPr>
                <w:rFonts w:hint="eastAsia" w:ascii="黑体" w:hAnsi="黑体" w:eastAsia="黑体" w:cs="宋体"/>
                <w:color w:val="000000"/>
                <w:kern w:val="0"/>
                <w:sz w:val="22"/>
              </w:rPr>
            </w:pPr>
            <w:r>
              <w:rPr>
                <w:rFonts w:hint="eastAsia" w:ascii="黑体" w:hAnsi="黑体" w:eastAsia="黑体" w:cs="宋体"/>
                <w:color w:val="000000"/>
                <w:kern w:val="0"/>
                <w:sz w:val="22"/>
              </w:rPr>
              <w:t>服务类</w:t>
            </w:r>
          </w:p>
        </w:tc>
        <w:tc>
          <w:tcPr>
            <w:tcW w:w="1468" w:type="dxa"/>
            <w:vMerge w:val="restart"/>
            <w:tcBorders>
              <w:top w:val="nil"/>
              <w:left w:val="single" w:color="auto" w:sz="4" w:space="0"/>
              <w:bottom w:val="single" w:color="auto" w:sz="4" w:space="0"/>
              <w:right w:val="single" w:color="auto" w:sz="4" w:space="0"/>
            </w:tcBorders>
            <w:noWrap/>
            <w:vAlign w:val="center"/>
          </w:tcPr>
          <w:p w14:paraId="09C57BC1">
            <w:pPr>
              <w:widowControl/>
              <w:jc w:val="center"/>
              <w:rPr>
                <w:rFonts w:hint="eastAsia" w:ascii="黑体" w:hAnsi="黑体" w:eastAsia="黑体" w:cs="宋体"/>
                <w:color w:val="000000"/>
                <w:kern w:val="0"/>
                <w:sz w:val="22"/>
              </w:rPr>
            </w:pPr>
          </w:p>
        </w:tc>
      </w:tr>
      <w:tr w14:paraId="55A0555C">
        <w:tblPrEx>
          <w:tblCellMar>
            <w:top w:w="0" w:type="dxa"/>
            <w:left w:w="108" w:type="dxa"/>
            <w:bottom w:w="0" w:type="dxa"/>
            <w:right w:w="108" w:type="dxa"/>
          </w:tblCellMar>
        </w:tblPrEx>
        <w:trPr>
          <w:trHeight w:val="579" w:hRule="atLeast"/>
          <w:jc w:val="center"/>
        </w:trPr>
        <w:tc>
          <w:tcPr>
            <w:tcW w:w="9021" w:type="dxa"/>
            <w:gridSpan w:val="4"/>
            <w:tcBorders>
              <w:top w:val="single" w:color="auto" w:sz="4" w:space="0"/>
              <w:left w:val="single" w:color="auto" w:sz="4" w:space="0"/>
              <w:bottom w:val="single" w:color="auto" w:sz="4" w:space="0"/>
              <w:right w:val="single" w:color="auto" w:sz="4" w:space="0"/>
            </w:tcBorders>
            <w:noWrap/>
            <w:vAlign w:val="center"/>
          </w:tcPr>
          <w:p w14:paraId="6190E15B">
            <w:pPr>
              <w:widowControl/>
              <w:jc w:val="left"/>
              <w:rPr>
                <w:rFonts w:hint="eastAsia" w:ascii="黑体" w:hAnsi="黑体" w:eastAsia="黑体" w:cs="宋体"/>
                <w:color w:val="000000"/>
                <w:kern w:val="0"/>
                <w:sz w:val="22"/>
              </w:rPr>
            </w:pPr>
            <w:r>
              <w:rPr>
                <w:rFonts w:hint="eastAsia" w:ascii="黑体" w:hAnsi="黑体" w:eastAsia="黑体" w:cs="宋体"/>
                <w:color w:val="000000"/>
                <w:kern w:val="0"/>
                <w:sz w:val="22"/>
              </w:rPr>
              <w:t>总报价：</w:t>
            </w:r>
            <w:r>
              <w:rPr>
                <w:rFonts w:hint="eastAsia" w:eastAsia="黑体"/>
                <w:color w:val="E54C5E" w:themeColor="accent6"/>
                <w:kern w:val="0"/>
                <w:sz w:val="24"/>
                <w14:textFill>
                  <w14:solidFill>
                    <w14:schemeClr w14:val="accent6"/>
                  </w14:solidFill>
                </w14:textFill>
              </w:rPr>
              <w:t>大小写 例：20</w:t>
            </w:r>
            <w:r>
              <w:rPr>
                <w:rFonts w:eastAsia="黑体"/>
                <w:color w:val="E54C5E" w:themeColor="accent6"/>
                <w:kern w:val="0"/>
                <w:sz w:val="24"/>
                <w14:textFill>
                  <w14:solidFill>
                    <w14:schemeClr w14:val="accent6"/>
                  </w14:solidFill>
                </w14:textFill>
              </w:rPr>
              <w:t>0000</w:t>
            </w:r>
            <w:r>
              <w:rPr>
                <w:rFonts w:hint="eastAsia" w:eastAsia="黑体"/>
                <w:color w:val="E54C5E" w:themeColor="accent6"/>
                <w:kern w:val="0"/>
                <w:sz w:val="24"/>
                <w14:textFill>
                  <w14:solidFill>
                    <w14:schemeClr w14:val="accent6"/>
                  </w14:solidFill>
                </w14:textFill>
              </w:rPr>
              <w:t>元（贰拾万元整）</w:t>
            </w:r>
          </w:p>
        </w:tc>
        <w:tc>
          <w:tcPr>
            <w:tcW w:w="1468" w:type="dxa"/>
            <w:vMerge w:val="continue"/>
            <w:tcBorders>
              <w:top w:val="nil"/>
              <w:left w:val="single" w:color="auto" w:sz="4" w:space="0"/>
              <w:bottom w:val="single" w:color="auto" w:sz="4" w:space="0"/>
              <w:right w:val="single" w:color="auto" w:sz="4" w:space="0"/>
            </w:tcBorders>
            <w:vAlign w:val="center"/>
          </w:tcPr>
          <w:p w14:paraId="0E225194">
            <w:pPr>
              <w:widowControl/>
              <w:jc w:val="left"/>
              <w:rPr>
                <w:rFonts w:hint="eastAsia" w:ascii="黑体" w:hAnsi="黑体" w:eastAsia="黑体" w:cs="宋体"/>
                <w:color w:val="000000"/>
                <w:kern w:val="0"/>
                <w:sz w:val="22"/>
              </w:rPr>
            </w:pPr>
          </w:p>
        </w:tc>
      </w:tr>
    </w:tbl>
    <w:p w14:paraId="02F785EA">
      <w:pPr>
        <w:pStyle w:val="38"/>
        <w:spacing w:line="360" w:lineRule="auto"/>
        <w:rPr>
          <w:rFonts w:hint="eastAsia" w:ascii="黑体" w:hAnsi="黑体" w:eastAsia="黑体"/>
          <w:sz w:val="24"/>
          <w:szCs w:val="24"/>
        </w:rPr>
      </w:pPr>
    </w:p>
    <w:p w14:paraId="6CD90D2A">
      <w:pPr>
        <w:pStyle w:val="38"/>
        <w:spacing w:line="360" w:lineRule="auto"/>
        <w:ind w:firstLine="360" w:firstLineChars="150"/>
        <w:rPr>
          <w:rFonts w:hint="eastAsia" w:asciiTheme="minorEastAsia" w:hAnsiTheme="minorEastAsia" w:eastAsiaTheme="minorEastAsia"/>
          <w:sz w:val="24"/>
          <w:szCs w:val="24"/>
        </w:rPr>
      </w:pPr>
      <w:r>
        <w:rPr>
          <w:rFonts w:asciiTheme="majorEastAsia" w:hAnsiTheme="majorEastAsia" w:eastAsiaTheme="majorEastAsia"/>
          <w:sz w:val="24"/>
          <w:szCs w:val="24"/>
        </w:rPr>
        <w:t>以上报价所含增值税类型及税率</w:t>
      </w:r>
      <w:r>
        <w:rPr>
          <w:rFonts w:asciiTheme="minorEastAsia" w:hAnsiTheme="minorEastAsia" w:eastAsiaTheme="minorEastAsia"/>
          <w:sz w:val="24"/>
          <w:szCs w:val="24"/>
        </w:rPr>
        <w:t>：</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rPr>
        <w:t xml:space="preserve">   </w:t>
      </w:r>
    </w:p>
    <w:p w14:paraId="5DDAF613">
      <w:pPr>
        <w:pStyle w:val="38"/>
        <w:spacing w:line="360" w:lineRule="auto"/>
        <w:ind w:firstLine="360" w:firstLineChars="150"/>
        <w:rPr>
          <w:rFonts w:hint="eastAsia" w:asciiTheme="minorEastAsia" w:hAnsiTheme="minorEastAsia" w:eastAsiaTheme="minorEastAsia"/>
          <w:sz w:val="24"/>
          <w:szCs w:val="24"/>
        </w:rPr>
      </w:pPr>
    </w:p>
    <w:p w14:paraId="341F2460">
      <w:pPr>
        <w:pStyle w:val="38"/>
        <w:spacing w:line="360" w:lineRule="auto"/>
        <w:ind w:firstLine="360" w:firstLineChars="150"/>
        <w:rPr>
          <w:rFonts w:hint="eastAsia" w:asciiTheme="minorEastAsia" w:hAnsiTheme="minorEastAsia" w:eastAsiaTheme="minorEastAsia"/>
          <w:sz w:val="24"/>
          <w:szCs w:val="24"/>
        </w:rPr>
      </w:pPr>
    </w:p>
    <w:p w14:paraId="29C338D0">
      <w:pPr>
        <w:spacing w:line="560" w:lineRule="exact"/>
        <w:ind w:firstLine="4080" w:firstLineChars="1700"/>
        <w:rPr>
          <w:rFonts w:hint="eastAsia" w:asciiTheme="minorEastAsia" w:hAnsiTheme="minorEastAsia"/>
          <w:sz w:val="24"/>
          <w:u w:val="single"/>
        </w:rPr>
      </w:pPr>
      <w:r>
        <w:rPr>
          <w:rFonts w:hint="eastAsia" w:asciiTheme="minorEastAsia" w:hAnsiTheme="minorEastAsia"/>
          <w:sz w:val="24"/>
        </w:rPr>
        <w:t>参选人：</w:t>
      </w:r>
      <w:r>
        <w:rPr>
          <w:rFonts w:hint="eastAsia" w:asciiTheme="minorEastAsia" w:hAnsiTheme="minorEastAsia"/>
          <w:sz w:val="24"/>
          <w:u w:val="single"/>
        </w:rPr>
        <w:t xml:space="preserve">   </w:t>
      </w:r>
      <w:r>
        <w:rPr>
          <w:rFonts w:asciiTheme="minorEastAsia" w:hAnsiTheme="minorEastAsia"/>
          <w:sz w:val="24"/>
          <w:u w:val="single"/>
        </w:rPr>
        <w:t xml:space="preserve">    单位名称</w:t>
      </w:r>
      <w:r>
        <w:rPr>
          <w:rFonts w:hint="eastAsia" w:asciiTheme="minorEastAsia" w:hAnsiTheme="minorEastAsia"/>
          <w:sz w:val="24"/>
          <w:u w:val="single"/>
        </w:rPr>
        <w:t xml:space="preserve">   </w:t>
      </w:r>
      <w:r>
        <w:rPr>
          <w:rFonts w:hint="eastAsia" w:asciiTheme="minorEastAsia" w:hAnsiTheme="minorEastAsia"/>
          <w:color w:val="00B050"/>
          <w:sz w:val="24"/>
        </w:rPr>
        <w:t>（加盖参选单位章）</w:t>
      </w:r>
    </w:p>
    <w:p w14:paraId="41675768">
      <w:pPr>
        <w:spacing w:line="560" w:lineRule="exact"/>
        <w:ind w:firstLine="3600" w:firstLineChars="1500"/>
        <w:rPr>
          <w:rFonts w:hint="eastAsia" w:asciiTheme="minorEastAsia" w:hAnsiTheme="minorEastAsia"/>
          <w:color w:val="00B050"/>
          <w:sz w:val="24"/>
        </w:rPr>
      </w:pPr>
      <w:r>
        <w:rPr>
          <w:rFonts w:hint="eastAsia" w:asciiTheme="minorEastAsia" w:hAnsiTheme="minorEastAsia"/>
          <w:sz w:val="24"/>
        </w:rPr>
        <w:t>法定代表人：</w:t>
      </w:r>
      <w:r>
        <w:rPr>
          <w:rFonts w:hint="eastAsia" w:asciiTheme="minorEastAsia" w:hAnsiTheme="minorEastAsia"/>
          <w:sz w:val="24"/>
          <w:u w:val="single"/>
        </w:rPr>
        <w:t xml:space="preserve">                 </w:t>
      </w:r>
      <w:r>
        <w:rPr>
          <w:rFonts w:hint="eastAsia" w:asciiTheme="minorEastAsia" w:hAnsiTheme="minorEastAsia"/>
          <w:color w:val="00B050"/>
          <w:sz w:val="24"/>
        </w:rPr>
        <w:t>（签字）</w:t>
      </w:r>
    </w:p>
    <w:p w14:paraId="34911470">
      <w:pPr>
        <w:spacing w:line="560" w:lineRule="exact"/>
        <w:ind w:firstLine="2640" w:firstLineChars="1100"/>
        <w:rPr>
          <w:rFonts w:hint="eastAsia" w:asciiTheme="minorEastAsia" w:hAnsiTheme="minorEastAsia"/>
          <w:color w:val="C00000"/>
          <w:sz w:val="24"/>
          <w:u w:val="single"/>
        </w:rPr>
      </w:pPr>
      <w:r>
        <w:rPr>
          <w:rFonts w:hint="eastAsia" w:asciiTheme="minorEastAsia" w:hAnsiTheme="minorEastAsia"/>
          <w:sz w:val="24"/>
        </w:rPr>
        <w:t>或其授权委托代理人：</w:t>
      </w:r>
      <w:r>
        <w:rPr>
          <w:rFonts w:hint="eastAsia" w:asciiTheme="minorEastAsia" w:hAnsiTheme="minorEastAsia"/>
          <w:sz w:val="24"/>
          <w:u w:val="single"/>
        </w:rPr>
        <w:t xml:space="preserve">                 </w:t>
      </w:r>
      <w:r>
        <w:rPr>
          <w:rFonts w:asciiTheme="minorEastAsia" w:hAnsiTheme="minorEastAsia"/>
          <w:sz w:val="24"/>
        </w:rPr>
        <w:t>_</w:t>
      </w:r>
      <w:r>
        <w:rPr>
          <w:rFonts w:hint="eastAsia" w:asciiTheme="minorEastAsia" w:hAnsiTheme="minorEastAsia"/>
          <w:color w:val="00B050"/>
          <w:sz w:val="24"/>
        </w:rPr>
        <w:t>（签字）</w:t>
      </w:r>
    </w:p>
    <w:p w14:paraId="3CC9D67E">
      <w:pPr>
        <w:pStyle w:val="38"/>
        <w:spacing w:line="560" w:lineRule="exact"/>
        <w:ind w:firstLine="3120" w:firstLineChars="1300"/>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rPr>
        <w:t>联系电话及邮箱：</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p>
    <w:p w14:paraId="26367664">
      <w:pPr>
        <w:spacing w:line="560" w:lineRule="exact"/>
        <w:ind w:firstLine="3720" w:firstLineChars="1550"/>
        <w:rPr>
          <w:rFonts w:hint="eastAsia" w:asciiTheme="minorEastAsia" w:hAnsiTheme="minorEastAsia"/>
          <w:sz w:val="24"/>
          <w:u w:val="single"/>
        </w:rPr>
      </w:pPr>
      <w:r>
        <w:rPr>
          <w:rFonts w:hint="eastAsia" w:asciiTheme="minorEastAsia" w:hAnsiTheme="minorEastAsia"/>
          <w:sz w:val="24"/>
        </w:rPr>
        <w:t xml:space="preserve">编制时间： </w:t>
      </w:r>
      <w:r>
        <w:rPr>
          <w:rFonts w:hint="eastAsia" w:asciiTheme="minorEastAsia" w:hAnsiTheme="minorEastAsia"/>
          <w:sz w:val="24"/>
          <w:u w:val="single"/>
        </w:rPr>
        <w:t xml:space="preserve">      年   月   日</w:t>
      </w:r>
    </w:p>
    <w:p w14:paraId="1268B345">
      <w:pPr>
        <w:spacing w:line="700" w:lineRule="exact"/>
        <w:jc w:val="left"/>
        <w:rPr>
          <w:color w:val="FF0000"/>
          <w:sz w:val="28"/>
          <w:szCs w:val="28"/>
        </w:rPr>
      </w:pPr>
      <w:r>
        <w:rPr>
          <w:color w:val="FF0000"/>
          <w:sz w:val="28"/>
          <w:szCs w:val="28"/>
        </w:rPr>
        <w:t>备注:</w:t>
      </w:r>
    </w:p>
    <w:p w14:paraId="55B228D8">
      <w:pPr>
        <w:spacing w:line="520" w:lineRule="exact"/>
        <w:ind w:firstLine="560" w:firstLineChars="200"/>
        <w:jc w:val="left"/>
        <w:rPr>
          <w:color w:val="FF0000"/>
          <w:sz w:val="28"/>
          <w:szCs w:val="28"/>
        </w:rPr>
      </w:pPr>
      <w:r>
        <w:rPr>
          <w:color w:val="FF0000"/>
          <w:sz w:val="28"/>
          <w:szCs w:val="28"/>
        </w:rPr>
        <w:t>服务应包含本项目需求的全部服务内容。如有漏项或缺项，参选人承担全部责任。</w:t>
      </w:r>
    </w:p>
    <w:p w14:paraId="2ED5CAF3">
      <w:r>
        <w:br w:type="page"/>
      </w:r>
    </w:p>
    <w:p w14:paraId="5AD79601">
      <w:pPr>
        <w:spacing w:line="700" w:lineRule="exact"/>
        <w:jc w:val="center"/>
        <w:rPr>
          <w:rFonts w:eastAsia="黑体"/>
          <w:b/>
          <w:sz w:val="30"/>
          <w:szCs w:val="30"/>
        </w:rPr>
      </w:pPr>
      <w:r>
        <w:rPr>
          <w:rFonts w:hint="eastAsia" w:eastAsia="黑体"/>
          <w:b/>
          <w:color w:val="FF0000"/>
          <w:sz w:val="30"/>
          <w:szCs w:val="30"/>
        </w:rPr>
        <w:t>六</w:t>
      </w:r>
      <w:r>
        <w:rPr>
          <w:rFonts w:eastAsia="黑体"/>
          <w:b/>
          <w:color w:val="FF0000"/>
          <w:sz w:val="30"/>
          <w:szCs w:val="30"/>
        </w:rPr>
        <w:t>、</w:t>
      </w:r>
      <w:r>
        <w:rPr>
          <w:rFonts w:eastAsia="黑体"/>
          <w:b/>
          <w:sz w:val="30"/>
          <w:szCs w:val="30"/>
        </w:rPr>
        <w:t>专家名单</w:t>
      </w:r>
    </w:p>
    <w:p w14:paraId="1BA29A61">
      <w:pPr>
        <w:spacing w:line="700" w:lineRule="exact"/>
        <w:jc w:val="center"/>
        <w:rPr>
          <w:rFonts w:eastAsia="黑体"/>
          <w:b/>
          <w:sz w:val="30"/>
          <w:szCs w:val="30"/>
        </w:rPr>
      </w:pPr>
      <w:r>
        <w:rPr>
          <w:rFonts w:eastAsia="黑体"/>
          <w:b/>
          <w:sz w:val="30"/>
          <w:szCs w:val="30"/>
        </w:rPr>
        <w:t>（</w:t>
      </w:r>
      <w:r>
        <w:rPr>
          <w:rFonts w:hint="eastAsia" w:eastAsia="黑体"/>
          <w:b/>
          <w:sz w:val="30"/>
          <w:szCs w:val="30"/>
        </w:rPr>
        <w:t>表一</w:t>
      </w:r>
      <w:r>
        <w:rPr>
          <w:rFonts w:eastAsia="黑体"/>
          <w:b/>
          <w:sz w:val="30"/>
          <w:szCs w:val="30"/>
        </w:rPr>
        <w:t>）</w:t>
      </w:r>
      <w:r>
        <w:rPr>
          <w:rFonts w:hint="eastAsia" w:eastAsia="黑体"/>
          <w:b/>
          <w:sz w:val="30"/>
          <w:szCs w:val="30"/>
        </w:rPr>
        <w:t>专家清单</w:t>
      </w:r>
    </w:p>
    <w:tbl>
      <w:tblPr>
        <w:tblStyle w:val="20"/>
        <w:tblW w:w="8702" w:type="dxa"/>
        <w:jc w:val="center"/>
        <w:tblLayout w:type="autofit"/>
        <w:tblCellMar>
          <w:top w:w="0" w:type="dxa"/>
          <w:left w:w="108" w:type="dxa"/>
          <w:bottom w:w="0" w:type="dxa"/>
          <w:right w:w="108" w:type="dxa"/>
        </w:tblCellMar>
      </w:tblPr>
      <w:tblGrid>
        <w:gridCol w:w="846"/>
        <w:gridCol w:w="992"/>
        <w:gridCol w:w="1559"/>
        <w:gridCol w:w="2552"/>
        <w:gridCol w:w="1685"/>
        <w:gridCol w:w="1068"/>
      </w:tblGrid>
      <w:tr w14:paraId="703C8EC1">
        <w:tblPrEx>
          <w:tblCellMar>
            <w:top w:w="0" w:type="dxa"/>
            <w:left w:w="108" w:type="dxa"/>
            <w:bottom w:w="0" w:type="dxa"/>
            <w:right w:w="108" w:type="dxa"/>
          </w:tblCellMar>
        </w:tblPrEx>
        <w:trPr>
          <w:trHeight w:val="408" w:hRule="atLeast"/>
          <w:jc w:val="center"/>
        </w:trPr>
        <w:tc>
          <w:tcPr>
            <w:tcW w:w="846" w:type="dxa"/>
            <w:tcBorders>
              <w:top w:val="single" w:color="auto" w:sz="4" w:space="0"/>
              <w:left w:val="single" w:color="auto" w:sz="4" w:space="0"/>
              <w:bottom w:val="single" w:color="auto" w:sz="4" w:space="0"/>
              <w:right w:val="single" w:color="auto" w:sz="4" w:space="0"/>
            </w:tcBorders>
            <w:noWrap/>
            <w:vAlign w:val="center"/>
          </w:tcPr>
          <w:p w14:paraId="480931F0">
            <w:pPr>
              <w:widowControl/>
              <w:jc w:val="center"/>
              <w:rPr>
                <w:rFonts w:eastAsia="黑体"/>
                <w:color w:val="000000"/>
                <w:kern w:val="0"/>
                <w:sz w:val="24"/>
              </w:rPr>
            </w:pPr>
            <w:r>
              <w:rPr>
                <w:rFonts w:eastAsia="黑体"/>
                <w:color w:val="000000"/>
                <w:kern w:val="0"/>
                <w:sz w:val="24"/>
              </w:rPr>
              <w:t>序号</w:t>
            </w:r>
          </w:p>
        </w:tc>
        <w:tc>
          <w:tcPr>
            <w:tcW w:w="992" w:type="dxa"/>
            <w:tcBorders>
              <w:top w:val="single" w:color="auto" w:sz="4" w:space="0"/>
              <w:left w:val="nil"/>
              <w:bottom w:val="single" w:color="auto" w:sz="4" w:space="0"/>
              <w:right w:val="single" w:color="auto" w:sz="4" w:space="0"/>
            </w:tcBorders>
            <w:noWrap/>
            <w:vAlign w:val="center"/>
          </w:tcPr>
          <w:p w14:paraId="23CD8E98">
            <w:pPr>
              <w:widowControl/>
              <w:jc w:val="center"/>
              <w:rPr>
                <w:rFonts w:eastAsia="黑体"/>
                <w:color w:val="000000"/>
                <w:kern w:val="0"/>
                <w:sz w:val="24"/>
              </w:rPr>
            </w:pPr>
            <w:r>
              <w:rPr>
                <w:rFonts w:eastAsia="黑体"/>
                <w:color w:val="000000"/>
                <w:kern w:val="0"/>
                <w:sz w:val="24"/>
              </w:rPr>
              <w:t>姓名</w:t>
            </w:r>
          </w:p>
        </w:tc>
        <w:tc>
          <w:tcPr>
            <w:tcW w:w="1559" w:type="dxa"/>
            <w:tcBorders>
              <w:top w:val="single" w:color="auto" w:sz="4" w:space="0"/>
              <w:left w:val="nil"/>
              <w:bottom w:val="single" w:color="auto" w:sz="4" w:space="0"/>
              <w:right w:val="single" w:color="auto" w:sz="4" w:space="0"/>
            </w:tcBorders>
            <w:noWrap/>
            <w:vAlign w:val="center"/>
          </w:tcPr>
          <w:p w14:paraId="1FE41EDC">
            <w:pPr>
              <w:widowControl/>
              <w:jc w:val="center"/>
              <w:rPr>
                <w:rFonts w:eastAsia="黑体"/>
                <w:color w:val="000000"/>
                <w:kern w:val="0"/>
                <w:sz w:val="24"/>
              </w:rPr>
            </w:pPr>
            <w:r>
              <w:rPr>
                <w:rFonts w:eastAsia="黑体"/>
                <w:color w:val="000000"/>
                <w:kern w:val="0"/>
                <w:sz w:val="24"/>
              </w:rPr>
              <w:t>联系方式</w:t>
            </w:r>
          </w:p>
        </w:tc>
        <w:tc>
          <w:tcPr>
            <w:tcW w:w="2552" w:type="dxa"/>
            <w:tcBorders>
              <w:top w:val="single" w:color="auto" w:sz="4" w:space="0"/>
              <w:left w:val="nil"/>
              <w:bottom w:val="single" w:color="auto" w:sz="4" w:space="0"/>
              <w:right w:val="single" w:color="auto" w:sz="4" w:space="0"/>
            </w:tcBorders>
            <w:noWrap/>
            <w:vAlign w:val="center"/>
          </w:tcPr>
          <w:p w14:paraId="0D8095E6">
            <w:pPr>
              <w:widowControl/>
              <w:jc w:val="center"/>
              <w:rPr>
                <w:rFonts w:eastAsia="黑体"/>
                <w:color w:val="000000"/>
                <w:kern w:val="0"/>
                <w:sz w:val="24"/>
              </w:rPr>
            </w:pPr>
            <w:r>
              <w:rPr>
                <w:rFonts w:eastAsia="黑体"/>
                <w:color w:val="000000"/>
                <w:kern w:val="0"/>
                <w:sz w:val="24"/>
              </w:rPr>
              <w:t>身份证号</w:t>
            </w:r>
          </w:p>
        </w:tc>
        <w:tc>
          <w:tcPr>
            <w:tcW w:w="1685" w:type="dxa"/>
            <w:tcBorders>
              <w:top w:val="single" w:color="auto" w:sz="4" w:space="0"/>
              <w:left w:val="nil"/>
              <w:bottom w:val="single" w:color="auto" w:sz="4" w:space="0"/>
              <w:right w:val="single" w:color="auto" w:sz="4" w:space="0"/>
            </w:tcBorders>
            <w:noWrap/>
            <w:vAlign w:val="center"/>
          </w:tcPr>
          <w:p w14:paraId="19033FF8">
            <w:pPr>
              <w:widowControl/>
              <w:jc w:val="center"/>
              <w:rPr>
                <w:rFonts w:eastAsia="黑体"/>
                <w:color w:val="000000"/>
                <w:kern w:val="0"/>
                <w:sz w:val="24"/>
              </w:rPr>
            </w:pPr>
            <w:r>
              <w:rPr>
                <w:rFonts w:hint="eastAsia" w:eastAsia="黑体"/>
                <w:color w:val="000000"/>
                <w:kern w:val="0"/>
                <w:sz w:val="24"/>
              </w:rPr>
              <w:t>职称</w:t>
            </w:r>
          </w:p>
        </w:tc>
        <w:tc>
          <w:tcPr>
            <w:tcW w:w="1068" w:type="dxa"/>
            <w:tcBorders>
              <w:top w:val="single" w:color="auto" w:sz="4" w:space="0"/>
              <w:left w:val="nil"/>
              <w:bottom w:val="single" w:color="auto" w:sz="4" w:space="0"/>
              <w:right w:val="single" w:color="auto" w:sz="4" w:space="0"/>
            </w:tcBorders>
            <w:noWrap/>
            <w:vAlign w:val="center"/>
          </w:tcPr>
          <w:p w14:paraId="2CB9D567">
            <w:pPr>
              <w:widowControl/>
              <w:jc w:val="center"/>
              <w:rPr>
                <w:rFonts w:eastAsia="黑体"/>
                <w:color w:val="000000"/>
                <w:kern w:val="0"/>
                <w:sz w:val="24"/>
              </w:rPr>
            </w:pPr>
            <w:r>
              <w:rPr>
                <w:rFonts w:eastAsia="黑体"/>
                <w:color w:val="000000"/>
                <w:kern w:val="0"/>
                <w:sz w:val="24"/>
              </w:rPr>
              <w:t>专业</w:t>
            </w:r>
          </w:p>
        </w:tc>
      </w:tr>
      <w:tr w14:paraId="2DFA7F5B">
        <w:tblPrEx>
          <w:tblCellMar>
            <w:top w:w="0" w:type="dxa"/>
            <w:left w:w="108" w:type="dxa"/>
            <w:bottom w:w="0" w:type="dxa"/>
            <w:right w:w="108" w:type="dxa"/>
          </w:tblCellMar>
        </w:tblPrEx>
        <w:trPr>
          <w:trHeight w:val="408" w:hRule="atLeast"/>
          <w:jc w:val="center"/>
        </w:trPr>
        <w:tc>
          <w:tcPr>
            <w:tcW w:w="846" w:type="dxa"/>
            <w:tcBorders>
              <w:top w:val="nil"/>
              <w:left w:val="single" w:color="auto" w:sz="4" w:space="0"/>
              <w:bottom w:val="single" w:color="auto" w:sz="4" w:space="0"/>
              <w:right w:val="single" w:color="auto" w:sz="4" w:space="0"/>
            </w:tcBorders>
            <w:noWrap/>
            <w:vAlign w:val="center"/>
          </w:tcPr>
          <w:p w14:paraId="5E3D871C">
            <w:pPr>
              <w:widowControl/>
              <w:jc w:val="center"/>
              <w:rPr>
                <w:rFonts w:eastAsia="黑体"/>
                <w:color w:val="000000"/>
                <w:kern w:val="0"/>
                <w:sz w:val="24"/>
              </w:rPr>
            </w:pPr>
          </w:p>
        </w:tc>
        <w:tc>
          <w:tcPr>
            <w:tcW w:w="992" w:type="dxa"/>
            <w:tcBorders>
              <w:top w:val="nil"/>
              <w:left w:val="nil"/>
              <w:bottom w:val="single" w:color="auto" w:sz="4" w:space="0"/>
              <w:right w:val="single" w:color="auto" w:sz="4" w:space="0"/>
            </w:tcBorders>
            <w:noWrap/>
            <w:vAlign w:val="center"/>
          </w:tcPr>
          <w:p w14:paraId="797526E4">
            <w:pPr>
              <w:widowControl/>
              <w:jc w:val="center"/>
              <w:rPr>
                <w:rFonts w:eastAsia="黑体"/>
                <w:color w:val="000000"/>
                <w:kern w:val="0"/>
                <w:sz w:val="24"/>
              </w:rPr>
            </w:pPr>
          </w:p>
        </w:tc>
        <w:tc>
          <w:tcPr>
            <w:tcW w:w="1559" w:type="dxa"/>
            <w:tcBorders>
              <w:top w:val="nil"/>
              <w:left w:val="nil"/>
              <w:bottom w:val="single" w:color="auto" w:sz="4" w:space="0"/>
              <w:right w:val="single" w:color="auto" w:sz="4" w:space="0"/>
            </w:tcBorders>
            <w:noWrap/>
            <w:vAlign w:val="center"/>
          </w:tcPr>
          <w:p w14:paraId="1E620459">
            <w:pPr>
              <w:widowControl/>
              <w:jc w:val="center"/>
              <w:rPr>
                <w:rFonts w:eastAsia="黑体"/>
                <w:color w:val="000000"/>
                <w:kern w:val="0"/>
                <w:sz w:val="24"/>
              </w:rPr>
            </w:pPr>
          </w:p>
        </w:tc>
        <w:tc>
          <w:tcPr>
            <w:tcW w:w="2552" w:type="dxa"/>
            <w:tcBorders>
              <w:top w:val="nil"/>
              <w:left w:val="nil"/>
              <w:bottom w:val="single" w:color="auto" w:sz="4" w:space="0"/>
              <w:right w:val="single" w:color="auto" w:sz="4" w:space="0"/>
            </w:tcBorders>
            <w:noWrap/>
            <w:vAlign w:val="center"/>
          </w:tcPr>
          <w:p w14:paraId="314D8633">
            <w:pPr>
              <w:widowControl/>
              <w:jc w:val="center"/>
              <w:rPr>
                <w:rFonts w:eastAsia="黑体"/>
                <w:color w:val="000000"/>
                <w:kern w:val="0"/>
                <w:sz w:val="24"/>
              </w:rPr>
            </w:pPr>
          </w:p>
        </w:tc>
        <w:tc>
          <w:tcPr>
            <w:tcW w:w="1685" w:type="dxa"/>
            <w:tcBorders>
              <w:top w:val="nil"/>
              <w:left w:val="nil"/>
              <w:bottom w:val="single" w:color="auto" w:sz="4" w:space="0"/>
              <w:right w:val="single" w:color="auto" w:sz="4" w:space="0"/>
            </w:tcBorders>
            <w:noWrap/>
            <w:vAlign w:val="center"/>
          </w:tcPr>
          <w:p w14:paraId="06223164">
            <w:pPr>
              <w:widowControl/>
              <w:jc w:val="center"/>
              <w:rPr>
                <w:rFonts w:eastAsia="黑体"/>
                <w:color w:val="000000"/>
                <w:kern w:val="0"/>
                <w:sz w:val="24"/>
              </w:rPr>
            </w:pPr>
          </w:p>
        </w:tc>
        <w:tc>
          <w:tcPr>
            <w:tcW w:w="1068" w:type="dxa"/>
            <w:tcBorders>
              <w:top w:val="nil"/>
              <w:left w:val="nil"/>
              <w:bottom w:val="single" w:color="auto" w:sz="4" w:space="0"/>
              <w:right w:val="single" w:color="auto" w:sz="4" w:space="0"/>
            </w:tcBorders>
            <w:noWrap/>
            <w:vAlign w:val="center"/>
          </w:tcPr>
          <w:p w14:paraId="68CD7B27">
            <w:pPr>
              <w:widowControl/>
              <w:jc w:val="center"/>
              <w:rPr>
                <w:rFonts w:eastAsia="黑体"/>
                <w:color w:val="000000"/>
                <w:kern w:val="0"/>
                <w:sz w:val="24"/>
              </w:rPr>
            </w:pPr>
          </w:p>
        </w:tc>
      </w:tr>
      <w:tr w14:paraId="0378012B">
        <w:tblPrEx>
          <w:tblCellMar>
            <w:top w:w="0" w:type="dxa"/>
            <w:left w:w="108" w:type="dxa"/>
            <w:bottom w:w="0" w:type="dxa"/>
            <w:right w:w="108" w:type="dxa"/>
          </w:tblCellMar>
        </w:tblPrEx>
        <w:trPr>
          <w:trHeight w:val="408" w:hRule="atLeast"/>
          <w:jc w:val="center"/>
        </w:trPr>
        <w:tc>
          <w:tcPr>
            <w:tcW w:w="846" w:type="dxa"/>
            <w:tcBorders>
              <w:top w:val="nil"/>
              <w:left w:val="single" w:color="auto" w:sz="4" w:space="0"/>
              <w:bottom w:val="single" w:color="auto" w:sz="4" w:space="0"/>
              <w:right w:val="single" w:color="auto" w:sz="4" w:space="0"/>
            </w:tcBorders>
            <w:noWrap/>
            <w:vAlign w:val="center"/>
          </w:tcPr>
          <w:p w14:paraId="7DF48705">
            <w:pPr>
              <w:widowControl/>
              <w:jc w:val="center"/>
              <w:rPr>
                <w:rFonts w:eastAsia="黑体"/>
                <w:color w:val="000000"/>
                <w:kern w:val="0"/>
                <w:sz w:val="24"/>
              </w:rPr>
            </w:pPr>
          </w:p>
        </w:tc>
        <w:tc>
          <w:tcPr>
            <w:tcW w:w="992" w:type="dxa"/>
            <w:tcBorders>
              <w:top w:val="nil"/>
              <w:left w:val="nil"/>
              <w:bottom w:val="single" w:color="auto" w:sz="4" w:space="0"/>
              <w:right w:val="single" w:color="auto" w:sz="4" w:space="0"/>
            </w:tcBorders>
            <w:noWrap/>
            <w:vAlign w:val="center"/>
          </w:tcPr>
          <w:p w14:paraId="28ECB72A">
            <w:pPr>
              <w:widowControl/>
              <w:jc w:val="center"/>
              <w:rPr>
                <w:rFonts w:eastAsia="黑体"/>
                <w:color w:val="000000"/>
                <w:kern w:val="0"/>
                <w:sz w:val="24"/>
              </w:rPr>
            </w:pPr>
          </w:p>
        </w:tc>
        <w:tc>
          <w:tcPr>
            <w:tcW w:w="1559" w:type="dxa"/>
            <w:tcBorders>
              <w:top w:val="nil"/>
              <w:left w:val="nil"/>
              <w:bottom w:val="single" w:color="auto" w:sz="4" w:space="0"/>
              <w:right w:val="single" w:color="auto" w:sz="4" w:space="0"/>
            </w:tcBorders>
            <w:noWrap/>
            <w:vAlign w:val="center"/>
          </w:tcPr>
          <w:p w14:paraId="1C3B92E9">
            <w:pPr>
              <w:widowControl/>
              <w:jc w:val="center"/>
              <w:rPr>
                <w:rFonts w:eastAsia="黑体"/>
                <w:color w:val="000000"/>
                <w:kern w:val="0"/>
                <w:sz w:val="24"/>
              </w:rPr>
            </w:pPr>
          </w:p>
        </w:tc>
        <w:tc>
          <w:tcPr>
            <w:tcW w:w="2552" w:type="dxa"/>
            <w:tcBorders>
              <w:top w:val="nil"/>
              <w:left w:val="nil"/>
              <w:bottom w:val="single" w:color="auto" w:sz="4" w:space="0"/>
              <w:right w:val="single" w:color="auto" w:sz="4" w:space="0"/>
            </w:tcBorders>
            <w:noWrap/>
            <w:vAlign w:val="center"/>
          </w:tcPr>
          <w:p w14:paraId="347FC784">
            <w:pPr>
              <w:widowControl/>
              <w:jc w:val="center"/>
              <w:rPr>
                <w:rFonts w:eastAsia="黑体"/>
                <w:color w:val="000000"/>
                <w:kern w:val="0"/>
                <w:sz w:val="24"/>
              </w:rPr>
            </w:pPr>
          </w:p>
        </w:tc>
        <w:tc>
          <w:tcPr>
            <w:tcW w:w="1685" w:type="dxa"/>
            <w:tcBorders>
              <w:top w:val="nil"/>
              <w:left w:val="nil"/>
              <w:bottom w:val="single" w:color="auto" w:sz="4" w:space="0"/>
              <w:right w:val="single" w:color="auto" w:sz="4" w:space="0"/>
            </w:tcBorders>
            <w:noWrap/>
            <w:vAlign w:val="center"/>
          </w:tcPr>
          <w:p w14:paraId="2515E8BF">
            <w:pPr>
              <w:widowControl/>
              <w:jc w:val="center"/>
              <w:rPr>
                <w:rFonts w:eastAsia="黑体"/>
                <w:color w:val="000000"/>
                <w:kern w:val="0"/>
                <w:sz w:val="24"/>
              </w:rPr>
            </w:pPr>
          </w:p>
        </w:tc>
        <w:tc>
          <w:tcPr>
            <w:tcW w:w="1068" w:type="dxa"/>
            <w:tcBorders>
              <w:top w:val="nil"/>
              <w:left w:val="nil"/>
              <w:bottom w:val="single" w:color="auto" w:sz="4" w:space="0"/>
              <w:right w:val="single" w:color="auto" w:sz="4" w:space="0"/>
            </w:tcBorders>
            <w:noWrap/>
            <w:vAlign w:val="center"/>
          </w:tcPr>
          <w:p w14:paraId="548EC067">
            <w:pPr>
              <w:widowControl/>
              <w:jc w:val="center"/>
              <w:rPr>
                <w:rFonts w:eastAsia="黑体"/>
                <w:color w:val="000000"/>
                <w:kern w:val="0"/>
                <w:sz w:val="24"/>
              </w:rPr>
            </w:pPr>
          </w:p>
        </w:tc>
      </w:tr>
      <w:tr w14:paraId="360D19DE">
        <w:tblPrEx>
          <w:tblCellMar>
            <w:top w:w="0" w:type="dxa"/>
            <w:left w:w="108" w:type="dxa"/>
            <w:bottom w:w="0" w:type="dxa"/>
            <w:right w:w="108" w:type="dxa"/>
          </w:tblCellMar>
        </w:tblPrEx>
        <w:trPr>
          <w:trHeight w:val="408" w:hRule="atLeast"/>
          <w:jc w:val="center"/>
        </w:trPr>
        <w:tc>
          <w:tcPr>
            <w:tcW w:w="846" w:type="dxa"/>
            <w:tcBorders>
              <w:top w:val="nil"/>
              <w:left w:val="single" w:color="auto" w:sz="4" w:space="0"/>
              <w:bottom w:val="single" w:color="auto" w:sz="4" w:space="0"/>
              <w:right w:val="single" w:color="auto" w:sz="4" w:space="0"/>
            </w:tcBorders>
            <w:noWrap/>
            <w:vAlign w:val="center"/>
          </w:tcPr>
          <w:p w14:paraId="2DD1889E">
            <w:pPr>
              <w:widowControl/>
              <w:jc w:val="center"/>
              <w:rPr>
                <w:rFonts w:eastAsia="黑体"/>
                <w:color w:val="000000"/>
                <w:kern w:val="0"/>
                <w:sz w:val="24"/>
              </w:rPr>
            </w:pPr>
          </w:p>
        </w:tc>
        <w:tc>
          <w:tcPr>
            <w:tcW w:w="992" w:type="dxa"/>
            <w:tcBorders>
              <w:top w:val="nil"/>
              <w:left w:val="nil"/>
              <w:bottom w:val="single" w:color="auto" w:sz="4" w:space="0"/>
              <w:right w:val="single" w:color="auto" w:sz="4" w:space="0"/>
            </w:tcBorders>
            <w:noWrap/>
            <w:vAlign w:val="center"/>
          </w:tcPr>
          <w:p w14:paraId="5A72DF80">
            <w:pPr>
              <w:widowControl/>
              <w:jc w:val="center"/>
              <w:rPr>
                <w:rFonts w:eastAsia="黑体"/>
                <w:color w:val="000000"/>
                <w:kern w:val="0"/>
                <w:sz w:val="24"/>
              </w:rPr>
            </w:pPr>
          </w:p>
        </w:tc>
        <w:tc>
          <w:tcPr>
            <w:tcW w:w="1559" w:type="dxa"/>
            <w:tcBorders>
              <w:top w:val="nil"/>
              <w:left w:val="nil"/>
              <w:bottom w:val="single" w:color="auto" w:sz="4" w:space="0"/>
              <w:right w:val="single" w:color="auto" w:sz="4" w:space="0"/>
            </w:tcBorders>
            <w:noWrap/>
            <w:vAlign w:val="center"/>
          </w:tcPr>
          <w:p w14:paraId="03F523FF">
            <w:pPr>
              <w:widowControl/>
              <w:jc w:val="center"/>
              <w:rPr>
                <w:rFonts w:eastAsia="黑体"/>
                <w:color w:val="000000"/>
                <w:kern w:val="0"/>
                <w:sz w:val="24"/>
              </w:rPr>
            </w:pPr>
          </w:p>
        </w:tc>
        <w:tc>
          <w:tcPr>
            <w:tcW w:w="2552" w:type="dxa"/>
            <w:tcBorders>
              <w:top w:val="nil"/>
              <w:left w:val="nil"/>
              <w:bottom w:val="single" w:color="auto" w:sz="4" w:space="0"/>
              <w:right w:val="single" w:color="auto" w:sz="4" w:space="0"/>
            </w:tcBorders>
            <w:noWrap/>
            <w:vAlign w:val="center"/>
          </w:tcPr>
          <w:p w14:paraId="6E728FBA">
            <w:pPr>
              <w:widowControl/>
              <w:jc w:val="center"/>
              <w:rPr>
                <w:rFonts w:eastAsia="黑体"/>
                <w:color w:val="000000"/>
                <w:kern w:val="0"/>
                <w:sz w:val="24"/>
              </w:rPr>
            </w:pPr>
          </w:p>
        </w:tc>
        <w:tc>
          <w:tcPr>
            <w:tcW w:w="1685" w:type="dxa"/>
            <w:tcBorders>
              <w:top w:val="nil"/>
              <w:left w:val="nil"/>
              <w:bottom w:val="single" w:color="auto" w:sz="4" w:space="0"/>
              <w:right w:val="single" w:color="auto" w:sz="4" w:space="0"/>
            </w:tcBorders>
            <w:noWrap/>
            <w:vAlign w:val="center"/>
          </w:tcPr>
          <w:p w14:paraId="3C00C536">
            <w:pPr>
              <w:widowControl/>
              <w:jc w:val="center"/>
              <w:rPr>
                <w:rFonts w:eastAsia="黑体"/>
                <w:color w:val="000000"/>
                <w:kern w:val="0"/>
                <w:sz w:val="24"/>
              </w:rPr>
            </w:pPr>
          </w:p>
        </w:tc>
        <w:tc>
          <w:tcPr>
            <w:tcW w:w="1068" w:type="dxa"/>
            <w:tcBorders>
              <w:top w:val="nil"/>
              <w:left w:val="nil"/>
              <w:bottom w:val="single" w:color="auto" w:sz="4" w:space="0"/>
              <w:right w:val="single" w:color="auto" w:sz="4" w:space="0"/>
            </w:tcBorders>
            <w:noWrap/>
            <w:vAlign w:val="center"/>
          </w:tcPr>
          <w:p w14:paraId="049A7F2A">
            <w:pPr>
              <w:widowControl/>
              <w:jc w:val="center"/>
              <w:rPr>
                <w:rFonts w:eastAsia="黑体"/>
                <w:color w:val="000000"/>
                <w:kern w:val="0"/>
                <w:sz w:val="24"/>
              </w:rPr>
            </w:pPr>
          </w:p>
        </w:tc>
      </w:tr>
      <w:tr w14:paraId="06FF08E8">
        <w:tblPrEx>
          <w:tblCellMar>
            <w:top w:w="0" w:type="dxa"/>
            <w:left w:w="108" w:type="dxa"/>
            <w:bottom w:w="0" w:type="dxa"/>
            <w:right w:w="108" w:type="dxa"/>
          </w:tblCellMar>
        </w:tblPrEx>
        <w:trPr>
          <w:trHeight w:val="408" w:hRule="atLeast"/>
          <w:jc w:val="center"/>
        </w:trPr>
        <w:tc>
          <w:tcPr>
            <w:tcW w:w="846" w:type="dxa"/>
            <w:tcBorders>
              <w:top w:val="nil"/>
              <w:left w:val="single" w:color="auto" w:sz="4" w:space="0"/>
              <w:bottom w:val="single" w:color="auto" w:sz="4" w:space="0"/>
              <w:right w:val="single" w:color="auto" w:sz="4" w:space="0"/>
            </w:tcBorders>
            <w:noWrap/>
            <w:vAlign w:val="center"/>
          </w:tcPr>
          <w:p w14:paraId="2FA6288D">
            <w:pPr>
              <w:widowControl/>
              <w:jc w:val="center"/>
              <w:rPr>
                <w:rFonts w:eastAsia="黑体"/>
                <w:color w:val="000000"/>
                <w:kern w:val="0"/>
                <w:sz w:val="24"/>
              </w:rPr>
            </w:pPr>
          </w:p>
        </w:tc>
        <w:tc>
          <w:tcPr>
            <w:tcW w:w="992" w:type="dxa"/>
            <w:tcBorders>
              <w:top w:val="nil"/>
              <w:left w:val="nil"/>
              <w:bottom w:val="single" w:color="auto" w:sz="4" w:space="0"/>
              <w:right w:val="single" w:color="auto" w:sz="4" w:space="0"/>
            </w:tcBorders>
            <w:noWrap/>
            <w:vAlign w:val="center"/>
          </w:tcPr>
          <w:p w14:paraId="146E66F7">
            <w:pPr>
              <w:widowControl/>
              <w:jc w:val="center"/>
              <w:rPr>
                <w:rFonts w:eastAsia="黑体"/>
                <w:color w:val="000000"/>
                <w:kern w:val="0"/>
                <w:sz w:val="24"/>
              </w:rPr>
            </w:pPr>
          </w:p>
        </w:tc>
        <w:tc>
          <w:tcPr>
            <w:tcW w:w="1559" w:type="dxa"/>
            <w:tcBorders>
              <w:top w:val="nil"/>
              <w:left w:val="nil"/>
              <w:bottom w:val="single" w:color="auto" w:sz="4" w:space="0"/>
              <w:right w:val="single" w:color="auto" w:sz="4" w:space="0"/>
            </w:tcBorders>
            <w:noWrap/>
            <w:vAlign w:val="center"/>
          </w:tcPr>
          <w:p w14:paraId="6A70DEFB">
            <w:pPr>
              <w:widowControl/>
              <w:jc w:val="center"/>
              <w:rPr>
                <w:rFonts w:eastAsia="黑体"/>
                <w:color w:val="000000"/>
                <w:kern w:val="0"/>
                <w:sz w:val="24"/>
              </w:rPr>
            </w:pPr>
          </w:p>
        </w:tc>
        <w:tc>
          <w:tcPr>
            <w:tcW w:w="2552" w:type="dxa"/>
            <w:tcBorders>
              <w:top w:val="nil"/>
              <w:left w:val="nil"/>
              <w:bottom w:val="single" w:color="auto" w:sz="4" w:space="0"/>
              <w:right w:val="single" w:color="auto" w:sz="4" w:space="0"/>
            </w:tcBorders>
            <w:noWrap/>
            <w:vAlign w:val="center"/>
          </w:tcPr>
          <w:p w14:paraId="07272771">
            <w:pPr>
              <w:widowControl/>
              <w:jc w:val="center"/>
              <w:rPr>
                <w:rFonts w:eastAsia="黑体"/>
                <w:color w:val="000000"/>
                <w:kern w:val="0"/>
                <w:sz w:val="24"/>
              </w:rPr>
            </w:pPr>
          </w:p>
        </w:tc>
        <w:tc>
          <w:tcPr>
            <w:tcW w:w="1685" w:type="dxa"/>
            <w:tcBorders>
              <w:top w:val="nil"/>
              <w:left w:val="nil"/>
              <w:bottom w:val="single" w:color="auto" w:sz="4" w:space="0"/>
              <w:right w:val="single" w:color="auto" w:sz="4" w:space="0"/>
            </w:tcBorders>
            <w:noWrap/>
            <w:vAlign w:val="center"/>
          </w:tcPr>
          <w:p w14:paraId="0420CEE1">
            <w:pPr>
              <w:widowControl/>
              <w:jc w:val="center"/>
              <w:rPr>
                <w:rFonts w:eastAsia="黑体"/>
                <w:color w:val="000000"/>
                <w:kern w:val="0"/>
                <w:sz w:val="24"/>
              </w:rPr>
            </w:pPr>
          </w:p>
        </w:tc>
        <w:tc>
          <w:tcPr>
            <w:tcW w:w="1068" w:type="dxa"/>
            <w:tcBorders>
              <w:top w:val="nil"/>
              <w:left w:val="nil"/>
              <w:bottom w:val="single" w:color="auto" w:sz="4" w:space="0"/>
              <w:right w:val="single" w:color="auto" w:sz="4" w:space="0"/>
            </w:tcBorders>
            <w:noWrap/>
            <w:vAlign w:val="center"/>
          </w:tcPr>
          <w:p w14:paraId="79AD4362">
            <w:pPr>
              <w:widowControl/>
              <w:jc w:val="center"/>
              <w:rPr>
                <w:rFonts w:eastAsia="黑体"/>
                <w:color w:val="000000"/>
                <w:kern w:val="0"/>
                <w:sz w:val="24"/>
              </w:rPr>
            </w:pPr>
          </w:p>
        </w:tc>
      </w:tr>
      <w:tr w14:paraId="2E5CE755">
        <w:tblPrEx>
          <w:tblCellMar>
            <w:top w:w="0" w:type="dxa"/>
            <w:left w:w="108" w:type="dxa"/>
            <w:bottom w:w="0" w:type="dxa"/>
            <w:right w:w="108" w:type="dxa"/>
          </w:tblCellMar>
        </w:tblPrEx>
        <w:trPr>
          <w:trHeight w:val="408" w:hRule="atLeast"/>
          <w:jc w:val="center"/>
        </w:trPr>
        <w:tc>
          <w:tcPr>
            <w:tcW w:w="846" w:type="dxa"/>
            <w:tcBorders>
              <w:top w:val="nil"/>
              <w:left w:val="single" w:color="auto" w:sz="4" w:space="0"/>
              <w:bottom w:val="single" w:color="auto" w:sz="4" w:space="0"/>
              <w:right w:val="single" w:color="auto" w:sz="4" w:space="0"/>
            </w:tcBorders>
            <w:noWrap/>
            <w:vAlign w:val="center"/>
          </w:tcPr>
          <w:p w14:paraId="01055AF7">
            <w:pPr>
              <w:widowControl/>
              <w:jc w:val="center"/>
              <w:rPr>
                <w:rFonts w:eastAsia="黑体"/>
                <w:color w:val="000000"/>
                <w:kern w:val="0"/>
                <w:sz w:val="24"/>
              </w:rPr>
            </w:pPr>
          </w:p>
        </w:tc>
        <w:tc>
          <w:tcPr>
            <w:tcW w:w="992" w:type="dxa"/>
            <w:tcBorders>
              <w:top w:val="nil"/>
              <w:left w:val="nil"/>
              <w:bottom w:val="single" w:color="auto" w:sz="4" w:space="0"/>
              <w:right w:val="single" w:color="auto" w:sz="4" w:space="0"/>
            </w:tcBorders>
            <w:noWrap/>
            <w:vAlign w:val="center"/>
          </w:tcPr>
          <w:p w14:paraId="457F6F6D">
            <w:pPr>
              <w:widowControl/>
              <w:jc w:val="center"/>
              <w:rPr>
                <w:rFonts w:eastAsia="黑体"/>
                <w:color w:val="000000"/>
                <w:kern w:val="0"/>
                <w:sz w:val="24"/>
              </w:rPr>
            </w:pPr>
          </w:p>
        </w:tc>
        <w:tc>
          <w:tcPr>
            <w:tcW w:w="1559" w:type="dxa"/>
            <w:tcBorders>
              <w:top w:val="nil"/>
              <w:left w:val="nil"/>
              <w:bottom w:val="single" w:color="auto" w:sz="4" w:space="0"/>
              <w:right w:val="single" w:color="auto" w:sz="4" w:space="0"/>
            </w:tcBorders>
            <w:noWrap/>
            <w:vAlign w:val="center"/>
          </w:tcPr>
          <w:p w14:paraId="44E27D31">
            <w:pPr>
              <w:widowControl/>
              <w:jc w:val="center"/>
              <w:rPr>
                <w:rFonts w:eastAsia="黑体"/>
                <w:color w:val="000000"/>
                <w:kern w:val="0"/>
                <w:sz w:val="24"/>
              </w:rPr>
            </w:pPr>
          </w:p>
        </w:tc>
        <w:tc>
          <w:tcPr>
            <w:tcW w:w="2552" w:type="dxa"/>
            <w:tcBorders>
              <w:top w:val="nil"/>
              <w:left w:val="nil"/>
              <w:bottom w:val="single" w:color="auto" w:sz="4" w:space="0"/>
              <w:right w:val="single" w:color="auto" w:sz="4" w:space="0"/>
            </w:tcBorders>
            <w:noWrap/>
            <w:vAlign w:val="center"/>
          </w:tcPr>
          <w:p w14:paraId="3FE9A8E0">
            <w:pPr>
              <w:widowControl/>
              <w:jc w:val="center"/>
              <w:rPr>
                <w:rFonts w:eastAsia="黑体"/>
                <w:color w:val="000000"/>
                <w:kern w:val="0"/>
                <w:sz w:val="24"/>
              </w:rPr>
            </w:pPr>
          </w:p>
        </w:tc>
        <w:tc>
          <w:tcPr>
            <w:tcW w:w="1685" w:type="dxa"/>
            <w:tcBorders>
              <w:top w:val="nil"/>
              <w:left w:val="nil"/>
              <w:bottom w:val="single" w:color="auto" w:sz="4" w:space="0"/>
              <w:right w:val="single" w:color="auto" w:sz="4" w:space="0"/>
            </w:tcBorders>
            <w:noWrap/>
            <w:vAlign w:val="center"/>
          </w:tcPr>
          <w:p w14:paraId="02007EAF">
            <w:pPr>
              <w:widowControl/>
              <w:jc w:val="center"/>
              <w:rPr>
                <w:rFonts w:eastAsia="黑体"/>
                <w:color w:val="000000"/>
                <w:kern w:val="0"/>
                <w:sz w:val="24"/>
              </w:rPr>
            </w:pPr>
          </w:p>
        </w:tc>
        <w:tc>
          <w:tcPr>
            <w:tcW w:w="1068" w:type="dxa"/>
            <w:tcBorders>
              <w:top w:val="nil"/>
              <w:left w:val="nil"/>
              <w:bottom w:val="single" w:color="auto" w:sz="4" w:space="0"/>
              <w:right w:val="single" w:color="auto" w:sz="4" w:space="0"/>
            </w:tcBorders>
            <w:noWrap/>
            <w:vAlign w:val="center"/>
          </w:tcPr>
          <w:p w14:paraId="6808A2DD">
            <w:pPr>
              <w:widowControl/>
              <w:jc w:val="center"/>
              <w:rPr>
                <w:rFonts w:eastAsia="黑体"/>
                <w:color w:val="000000"/>
                <w:kern w:val="0"/>
                <w:sz w:val="24"/>
              </w:rPr>
            </w:pPr>
          </w:p>
        </w:tc>
      </w:tr>
      <w:tr w14:paraId="109BE2B1">
        <w:tblPrEx>
          <w:tblCellMar>
            <w:top w:w="0" w:type="dxa"/>
            <w:left w:w="108" w:type="dxa"/>
            <w:bottom w:w="0" w:type="dxa"/>
            <w:right w:w="108" w:type="dxa"/>
          </w:tblCellMar>
        </w:tblPrEx>
        <w:trPr>
          <w:trHeight w:val="408" w:hRule="atLeast"/>
          <w:jc w:val="center"/>
        </w:trPr>
        <w:tc>
          <w:tcPr>
            <w:tcW w:w="846" w:type="dxa"/>
            <w:tcBorders>
              <w:top w:val="nil"/>
              <w:left w:val="single" w:color="auto" w:sz="4" w:space="0"/>
              <w:bottom w:val="single" w:color="auto" w:sz="4" w:space="0"/>
              <w:right w:val="single" w:color="auto" w:sz="4" w:space="0"/>
            </w:tcBorders>
            <w:noWrap/>
            <w:vAlign w:val="center"/>
          </w:tcPr>
          <w:p w14:paraId="3D2379B3">
            <w:pPr>
              <w:widowControl/>
              <w:jc w:val="center"/>
              <w:rPr>
                <w:rFonts w:eastAsia="黑体"/>
                <w:color w:val="000000"/>
                <w:kern w:val="0"/>
                <w:sz w:val="24"/>
              </w:rPr>
            </w:pPr>
          </w:p>
        </w:tc>
        <w:tc>
          <w:tcPr>
            <w:tcW w:w="992" w:type="dxa"/>
            <w:tcBorders>
              <w:top w:val="nil"/>
              <w:left w:val="nil"/>
              <w:bottom w:val="single" w:color="auto" w:sz="4" w:space="0"/>
              <w:right w:val="single" w:color="auto" w:sz="4" w:space="0"/>
            </w:tcBorders>
            <w:noWrap/>
            <w:vAlign w:val="center"/>
          </w:tcPr>
          <w:p w14:paraId="1500AF5B">
            <w:pPr>
              <w:widowControl/>
              <w:jc w:val="center"/>
              <w:rPr>
                <w:rFonts w:eastAsia="黑体"/>
                <w:color w:val="000000"/>
                <w:kern w:val="0"/>
                <w:sz w:val="24"/>
              </w:rPr>
            </w:pPr>
          </w:p>
        </w:tc>
        <w:tc>
          <w:tcPr>
            <w:tcW w:w="1559" w:type="dxa"/>
            <w:tcBorders>
              <w:top w:val="nil"/>
              <w:left w:val="nil"/>
              <w:bottom w:val="single" w:color="auto" w:sz="4" w:space="0"/>
              <w:right w:val="single" w:color="auto" w:sz="4" w:space="0"/>
            </w:tcBorders>
            <w:noWrap/>
            <w:vAlign w:val="center"/>
          </w:tcPr>
          <w:p w14:paraId="5653FC0A">
            <w:pPr>
              <w:widowControl/>
              <w:jc w:val="center"/>
              <w:rPr>
                <w:rFonts w:eastAsia="黑体"/>
                <w:color w:val="000000"/>
                <w:kern w:val="0"/>
                <w:sz w:val="24"/>
              </w:rPr>
            </w:pPr>
          </w:p>
        </w:tc>
        <w:tc>
          <w:tcPr>
            <w:tcW w:w="2552" w:type="dxa"/>
            <w:tcBorders>
              <w:top w:val="nil"/>
              <w:left w:val="nil"/>
              <w:bottom w:val="single" w:color="auto" w:sz="4" w:space="0"/>
              <w:right w:val="single" w:color="auto" w:sz="4" w:space="0"/>
            </w:tcBorders>
            <w:noWrap/>
            <w:vAlign w:val="center"/>
          </w:tcPr>
          <w:p w14:paraId="6EF8FE7F">
            <w:pPr>
              <w:widowControl/>
              <w:jc w:val="center"/>
              <w:rPr>
                <w:rFonts w:eastAsia="黑体"/>
                <w:color w:val="000000"/>
                <w:kern w:val="0"/>
                <w:sz w:val="24"/>
              </w:rPr>
            </w:pPr>
          </w:p>
        </w:tc>
        <w:tc>
          <w:tcPr>
            <w:tcW w:w="1685" w:type="dxa"/>
            <w:tcBorders>
              <w:top w:val="nil"/>
              <w:left w:val="nil"/>
              <w:bottom w:val="single" w:color="auto" w:sz="4" w:space="0"/>
              <w:right w:val="single" w:color="auto" w:sz="4" w:space="0"/>
            </w:tcBorders>
            <w:noWrap/>
            <w:vAlign w:val="center"/>
          </w:tcPr>
          <w:p w14:paraId="6148396F">
            <w:pPr>
              <w:widowControl/>
              <w:jc w:val="center"/>
              <w:rPr>
                <w:rFonts w:eastAsia="黑体"/>
                <w:color w:val="000000"/>
                <w:kern w:val="0"/>
                <w:sz w:val="24"/>
              </w:rPr>
            </w:pPr>
          </w:p>
        </w:tc>
        <w:tc>
          <w:tcPr>
            <w:tcW w:w="1068" w:type="dxa"/>
            <w:tcBorders>
              <w:top w:val="nil"/>
              <w:left w:val="nil"/>
              <w:bottom w:val="single" w:color="auto" w:sz="4" w:space="0"/>
              <w:right w:val="single" w:color="auto" w:sz="4" w:space="0"/>
            </w:tcBorders>
            <w:noWrap/>
            <w:vAlign w:val="center"/>
          </w:tcPr>
          <w:p w14:paraId="2AD0355C">
            <w:pPr>
              <w:widowControl/>
              <w:jc w:val="center"/>
              <w:rPr>
                <w:rFonts w:eastAsia="黑体"/>
                <w:color w:val="000000"/>
                <w:kern w:val="0"/>
                <w:sz w:val="24"/>
              </w:rPr>
            </w:pPr>
          </w:p>
        </w:tc>
      </w:tr>
      <w:tr w14:paraId="62EE3872">
        <w:tblPrEx>
          <w:tblCellMar>
            <w:top w:w="0" w:type="dxa"/>
            <w:left w:w="108" w:type="dxa"/>
            <w:bottom w:w="0" w:type="dxa"/>
            <w:right w:w="108" w:type="dxa"/>
          </w:tblCellMar>
        </w:tblPrEx>
        <w:trPr>
          <w:trHeight w:val="408" w:hRule="atLeast"/>
          <w:jc w:val="center"/>
        </w:trPr>
        <w:tc>
          <w:tcPr>
            <w:tcW w:w="846" w:type="dxa"/>
            <w:tcBorders>
              <w:top w:val="nil"/>
              <w:left w:val="single" w:color="auto" w:sz="4" w:space="0"/>
              <w:bottom w:val="single" w:color="auto" w:sz="4" w:space="0"/>
              <w:right w:val="single" w:color="auto" w:sz="4" w:space="0"/>
            </w:tcBorders>
            <w:noWrap/>
            <w:vAlign w:val="center"/>
          </w:tcPr>
          <w:p w14:paraId="475452BA">
            <w:pPr>
              <w:widowControl/>
              <w:jc w:val="center"/>
              <w:rPr>
                <w:rFonts w:eastAsia="黑体"/>
                <w:color w:val="000000"/>
                <w:kern w:val="0"/>
                <w:sz w:val="24"/>
              </w:rPr>
            </w:pPr>
          </w:p>
        </w:tc>
        <w:tc>
          <w:tcPr>
            <w:tcW w:w="992" w:type="dxa"/>
            <w:tcBorders>
              <w:top w:val="nil"/>
              <w:left w:val="nil"/>
              <w:bottom w:val="single" w:color="auto" w:sz="4" w:space="0"/>
              <w:right w:val="single" w:color="auto" w:sz="4" w:space="0"/>
            </w:tcBorders>
            <w:noWrap/>
            <w:vAlign w:val="center"/>
          </w:tcPr>
          <w:p w14:paraId="08F68CC7">
            <w:pPr>
              <w:widowControl/>
              <w:jc w:val="center"/>
              <w:rPr>
                <w:rFonts w:eastAsia="黑体"/>
                <w:color w:val="000000"/>
                <w:kern w:val="0"/>
                <w:sz w:val="24"/>
              </w:rPr>
            </w:pPr>
          </w:p>
        </w:tc>
        <w:tc>
          <w:tcPr>
            <w:tcW w:w="1559" w:type="dxa"/>
            <w:tcBorders>
              <w:top w:val="nil"/>
              <w:left w:val="nil"/>
              <w:bottom w:val="single" w:color="auto" w:sz="4" w:space="0"/>
              <w:right w:val="single" w:color="auto" w:sz="4" w:space="0"/>
            </w:tcBorders>
            <w:noWrap/>
            <w:vAlign w:val="center"/>
          </w:tcPr>
          <w:p w14:paraId="758374A6">
            <w:pPr>
              <w:widowControl/>
              <w:jc w:val="center"/>
              <w:rPr>
                <w:rFonts w:eastAsia="黑体"/>
                <w:color w:val="000000"/>
                <w:kern w:val="0"/>
                <w:sz w:val="24"/>
              </w:rPr>
            </w:pPr>
          </w:p>
        </w:tc>
        <w:tc>
          <w:tcPr>
            <w:tcW w:w="2552" w:type="dxa"/>
            <w:tcBorders>
              <w:top w:val="nil"/>
              <w:left w:val="nil"/>
              <w:bottom w:val="single" w:color="auto" w:sz="4" w:space="0"/>
              <w:right w:val="single" w:color="auto" w:sz="4" w:space="0"/>
            </w:tcBorders>
            <w:noWrap/>
            <w:vAlign w:val="center"/>
          </w:tcPr>
          <w:p w14:paraId="4F1EF3A6">
            <w:pPr>
              <w:widowControl/>
              <w:jc w:val="center"/>
              <w:rPr>
                <w:rFonts w:eastAsia="黑体"/>
                <w:color w:val="000000"/>
                <w:kern w:val="0"/>
                <w:sz w:val="24"/>
              </w:rPr>
            </w:pPr>
          </w:p>
        </w:tc>
        <w:tc>
          <w:tcPr>
            <w:tcW w:w="1685" w:type="dxa"/>
            <w:tcBorders>
              <w:top w:val="nil"/>
              <w:left w:val="nil"/>
              <w:bottom w:val="single" w:color="auto" w:sz="4" w:space="0"/>
              <w:right w:val="single" w:color="auto" w:sz="4" w:space="0"/>
            </w:tcBorders>
            <w:noWrap/>
            <w:vAlign w:val="center"/>
          </w:tcPr>
          <w:p w14:paraId="7175FE25">
            <w:pPr>
              <w:widowControl/>
              <w:jc w:val="center"/>
              <w:rPr>
                <w:rFonts w:eastAsia="黑体"/>
                <w:color w:val="000000"/>
                <w:kern w:val="0"/>
                <w:sz w:val="24"/>
              </w:rPr>
            </w:pPr>
          </w:p>
        </w:tc>
        <w:tc>
          <w:tcPr>
            <w:tcW w:w="1068" w:type="dxa"/>
            <w:tcBorders>
              <w:top w:val="nil"/>
              <w:left w:val="nil"/>
              <w:bottom w:val="single" w:color="auto" w:sz="4" w:space="0"/>
              <w:right w:val="single" w:color="auto" w:sz="4" w:space="0"/>
            </w:tcBorders>
            <w:noWrap/>
            <w:vAlign w:val="center"/>
          </w:tcPr>
          <w:p w14:paraId="56A3BF49">
            <w:pPr>
              <w:widowControl/>
              <w:jc w:val="center"/>
              <w:rPr>
                <w:rFonts w:eastAsia="黑体"/>
                <w:color w:val="000000"/>
                <w:kern w:val="0"/>
                <w:sz w:val="24"/>
              </w:rPr>
            </w:pPr>
          </w:p>
        </w:tc>
      </w:tr>
      <w:tr w14:paraId="34CFAC77">
        <w:tblPrEx>
          <w:tblCellMar>
            <w:top w:w="0" w:type="dxa"/>
            <w:left w:w="108" w:type="dxa"/>
            <w:bottom w:w="0" w:type="dxa"/>
            <w:right w:w="108" w:type="dxa"/>
          </w:tblCellMar>
        </w:tblPrEx>
        <w:trPr>
          <w:trHeight w:val="408" w:hRule="atLeast"/>
          <w:jc w:val="center"/>
        </w:trPr>
        <w:tc>
          <w:tcPr>
            <w:tcW w:w="846" w:type="dxa"/>
            <w:tcBorders>
              <w:top w:val="nil"/>
              <w:left w:val="single" w:color="auto" w:sz="4" w:space="0"/>
              <w:bottom w:val="single" w:color="auto" w:sz="4" w:space="0"/>
              <w:right w:val="single" w:color="auto" w:sz="4" w:space="0"/>
            </w:tcBorders>
            <w:noWrap/>
            <w:vAlign w:val="center"/>
          </w:tcPr>
          <w:p w14:paraId="67F860F4">
            <w:pPr>
              <w:widowControl/>
              <w:jc w:val="center"/>
              <w:rPr>
                <w:rFonts w:eastAsia="黑体"/>
                <w:color w:val="000000"/>
                <w:kern w:val="0"/>
                <w:sz w:val="24"/>
              </w:rPr>
            </w:pPr>
          </w:p>
        </w:tc>
        <w:tc>
          <w:tcPr>
            <w:tcW w:w="992" w:type="dxa"/>
            <w:tcBorders>
              <w:top w:val="nil"/>
              <w:left w:val="nil"/>
              <w:bottom w:val="single" w:color="auto" w:sz="4" w:space="0"/>
              <w:right w:val="single" w:color="auto" w:sz="4" w:space="0"/>
            </w:tcBorders>
            <w:noWrap/>
            <w:vAlign w:val="center"/>
          </w:tcPr>
          <w:p w14:paraId="3EAC4DED">
            <w:pPr>
              <w:widowControl/>
              <w:jc w:val="center"/>
              <w:rPr>
                <w:rFonts w:eastAsia="黑体"/>
                <w:color w:val="000000"/>
                <w:kern w:val="0"/>
                <w:sz w:val="24"/>
              </w:rPr>
            </w:pPr>
          </w:p>
        </w:tc>
        <w:tc>
          <w:tcPr>
            <w:tcW w:w="1559" w:type="dxa"/>
            <w:tcBorders>
              <w:top w:val="nil"/>
              <w:left w:val="nil"/>
              <w:bottom w:val="single" w:color="auto" w:sz="4" w:space="0"/>
              <w:right w:val="single" w:color="auto" w:sz="4" w:space="0"/>
            </w:tcBorders>
            <w:noWrap/>
            <w:vAlign w:val="center"/>
          </w:tcPr>
          <w:p w14:paraId="73365C67">
            <w:pPr>
              <w:widowControl/>
              <w:jc w:val="center"/>
              <w:rPr>
                <w:rFonts w:eastAsia="黑体"/>
                <w:color w:val="000000"/>
                <w:kern w:val="0"/>
                <w:sz w:val="24"/>
              </w:rPr>
            </w:pPr>
          </w:p>
        </w:tc>
        <w:tc>
          <w:tcPr>
            <w:tcW w:w="2552" w:type="dxa"/>
            <w:tcBorders>
              <w:top w:val="nil"/>
              <w:left w:val="nil"/>
              <w:bottom w:val="single" w:color="auto" w:sz="4" w:space="0"/>
              <w:right w:val="single" w:color="auto" w:sz="4" w:space="0"/>
            </w:tcBorders>
            <w:noWrap/>
            <w:vAlign w:val="center"/>
          </w:tcPr>
          <w:p w14:paraId="0783DD6C">
            <w:pPr>
              <w:widowControl/>
              <w:jc w:val="center"/>
              <w:rPr>
                <w:rFonts w:eastAsia="黑体"/>
                <w:color w:val="000000"/>
                <w:kern w:val="0"/>
                <w:sz w:val="24"/>
              </w:rPr>
            </w:pPr>
          </w:p>
        </w:tc>
        <w:tc>
          <w:tcPr>
            <w:tcW w:w="1685" w:type="dxa"/>
            <w:tcBorders>
              <w:top w:val="nil"/>
              <w:left w:val="nil"/>
              <w:bottom w:val="single" w:color="auto" w:sz="4" w:space="0"/>
              <w:right w:val="single" w:color="auto" w:sz="4" w:space="0"/>
            </w:tcBorders>
            <w:noWrap/>
            <w:vAlign w:val="center"/>
          </w:tcPr>
          <w:p w14:paraId="68D23167">
            <w:pPr>
              <w:widowControl/>
              <w:jc w:val="center"/>
              <w:rPr>
                <w:rFonts w:eastAsia="黑体"/>
                <w:color w:val="000000"/>
                <w:kern w:val="0"/>
                <w:sz w:val="24"/>
              </w:rPr>
            </w:pPr>
          </w:p>
        </w:tc>
        <w:tc>
          <w:tcPr>
            <w:tcW w:w="1068" w:type="dxa"/>
            <w:tcBorders>
              <w:top w:val="nil"/>
              <w:left w:val="nil"/>
              <w:bottom w:val="single" w:color="auto" w:sz="4" w:space="0"/>
              <w:right w:val="single" w:color="auto" w:sz="4" w:space="0"/>
            </w:tcBorders>
            <w:noWrap/>
            <w:vAlign w:val="center"/>
          </w:tcPr>
          <w:p w14:paraId="62BE2CF5">
            <w:pPr>
              <w:widowControl/>
              <w:jc w:val="center"/>
              <w:rPr>
                <w:rFonts w:eastAsia="黑体"/>
                <w:color w:val="000000"/>
                <w:kern w:val="0"/>
                <w:sz w:val="24"/>
              </w:rPr>
            </w:pPr>
          </w:p>
        </w:tc>
      </w:tr>
      <w:tr w14:paraId="7B4470AC">
        <w:tblPrEx>
          <w:tblCellMar>
            <w:top w:w="0" w:type="dxa"/>
            <w:left w:w="108" w:type="dxa"/>
            <w:bottom w:w="0" w:type="dxa"/>
            <w:right w:w="108" w:type="dxa"/>
          </w:tblCellMar>
        </w:tblPrEx>
        <w:trPr>
          <w:trHeight w:val="408" w:hRule="atLeast"/>
          <w:jc w:val="center"/>
        </w:trPr>
        <w:tc>
          <w:tcPr>
            <w:tcW w:w="846" w:type="dxa"/>
            <w:tcBorders>
              <w:top w:val="nil"/>
              <w:left w:val="single" w:color="auto" w:sz="4" w:space="0"/>
              <w:bottom w:val="single" w:color="auto" w:sz="4" w:space="0"/>
              <w:right w:val="single" w:color="auto" w:sz="4" w:space="0"/>
            </w:tcBorders>
            <w:noWrap/>
            <w:vAlign w:val="center"/>
          </w:tcPr>
          <w:p w14:paraId="1E181591">
            <w:pPr>
              <w:widowControl/>
              <w:jc w:val="center"/>
              <w:rPr>
                <w:rFonts w:eastAsia="黑体"/>
                <w:color w:val="000000"/>
                <w:kern w:val="0"/>
                <w:sz w:val="24"/>
              </w:rPr>
            </w:pPr>
          </w:p>
        </w:tc>
        <w:tc>
          <w:tcPr>
            <w:tcW w:w="992" w:type="dxa"/>
            <w:tcBorders>
              <w:top w:val="nil"/>
              <w:left w:val="nil"/>
              <w:bottom w:val="single" w:color="auto" w:sz="4" w:space="0"/>
              <w:right w:val="single" w:color="auto" w:sz="4" w:space="0"/>
            </w:tcBorders>
            <w:noWrap/>
            <w:vAlign w:val="center"/>
          </w:tcPr>
          <w:p w14:paraId="1D002854">
            <w:pPr>
              <w:widowControl/>
              <w:jc w:val="center"/>
              <w:rPr>
                <w:rFonts w:eastAsia="黑体"/>
                <w:color w:val="000000"/>
                <w:kern w:val="0"/>
                <w:sz w:val="24"/>
              </w:rPr>
            </w:pPr>
          </w:p>
        </w:tc>
        <w:tc>
          <w:tcPr>
            <w:tcW w:w="1559" w:type="dxa"/>
            <w:tcBorders>
              <w:top w:val="nil"/>
              <w:left w:val="nil"/>
              <w:bottom w:val="single" w:color="auto" w:sz="4" w:space="0"/>
              <w:right w:val="single" w:color="auto" w:sz="4" w:space="0"/>
            </w:tcBorders>
            <w:noWrap/>
            <w:vAlign w:val="center"/>
          </w:tcPr>
          <w:p w14:paraId="2A17F163">
            <w:pPr>
              <w:widowControl/>
              <w:jc w:val="center"/>
              <w:rPr>
                <w:rFonts w:eastAsia="黑体"/>
                <w:color w:val="000000"/>
                <w:kern w:val="0"/>
                <w:sz w:val="24"/>
              </w:rPr>
            </w:pPr>
          </w:p>
        </w:tc>
        <w:tc>
          <w:tcPr>
            <w:tcW w:w="2552" w:type="dxa"/>
            <w:tcBorders>
              <w:top w:val="nil"/>
              <w:left w:val="nil"/>
              <w:bottom w:val="single" w:color="auto" w:sz="4" w:space="0"/>
              <w:right w:val="single" w:color="auto" w:sz="4" w:space="0"/>
            </w:tcBorders>
            <w:noWrap/>
            <w:vAlign w:val="center"/>
          </w:tcPr>
          <w:p w14:paraId="739438C1">
            <w:pPr>
              <w:widowControl/>
              <w:jc w:val="center"/>
              <w:rPr>
                <w:rFonts w:eastAsia="黑体"/>
                <w:color w:val="000000"/>
                <w:kern w:val="0"/>
                <w:sz w:val="24"/>
              </w:rPr>
            </w:pPr>
          </w:p>
        </w:tc>
        <w:tc>
          <w:tcPr>
            <w:tcW w:w="1685" w:type="dxa"/>
            <w:tcBorders>
              <w:top w:val="nil"/>
              <w:left w:val="nil"/>
              <w:bottom w:val="single" w:color="auto" w:sz="4" w:space="0"/>
              <w:right w:val="single" w:color="auto" w:sz="4" w:space="0"/>
            </w:tcBorders>
            <w:noWrap/>
            <w:vAlign w:val="center"/>
          </w:tcPr>
          <w:p w14:paraId="1852437E">
            <w:pPr>
              <w:widowControl/>
              <w:jc w:val="center"/>
              <w:rPr>
                <w:rFonts w:eastAsia="黑体"/>
                <w:color w:val="000000"/>
                <w:kern w:val="0"/>
                <w:sz w:val="24"/>
              </w:rPr>
            </w:pPr>
          </w:p>
        </w:tc>
        <w:tc>
          <w:tcPr>
            <w:tcW w:w="1068" w:type="dxa"/>
            <w:tcBorders>
              <w:top w:val="nil"/>
              <w:left w:val="nil"/>
              <w:bottom w:val="single" w:color="auto" w:sz="4" w:space="0"/>
              <w:right w:val="single" w:color="auto" w:sz="4" w:space="0"/>
            </w:tcBorders>
            <w:noWrap/>
            <w:vAlign w:val="center"/>
          </w:tcPr>
          <w:p w14:paraId="26F40A86">
            <w:pPr>
              <w:widowControl/>
              <w:jc w:val="center"/>
              <w:rPr>
                <w:rFonts w:eastAsia="黑体"/>
                <w:color w:val="000000"/>
                <w:kern w:val="0"/>
                <w:sz w:val="24"/>
              </w:rPr>
            </w:pPr>
          </w:p>
        </w:tc>
      </w:tr>
      <w:tr w14:paraId="5A0941E7">
        <w:tblPrEx>
          <w:tblCellMar>
            <w:top w:w="0" w:type="dxa"/>
            <w:left w:w="108" w:type="dxa"/>
            <w:bottom w:w="0" w:type="dxa"/>
            <w:right w:w="108" w:type="dxa"/>
          </w:tblCellMar>
        </w:tblPrEx>
        <w:trPr>
          <w:trHeight w:val="408" w:hRule="atLeast"/>
          <w:jc w:val="center"/>
        </w:trPr>
        <w:tc>
          <w:tcPr>
            <w:tcW w:w="846" w:type="dxa"/>
            <w:tcBorders>
              <w:top w:val="nil"/>
              <w:left w:val="single" w:color="auto" w:sz="4" w:space="0"/>
              <w:bottom w:val="single" w:color="auto" w:sz="4" w:space="0"/>
              <w:right w:val="single" w:color="auto" w:sz="4" w:space="0"/>
            </w:tcBorders>
            <w:noWrap/>
            <w:vAlign w:val="center"/>
          </w:tcPr>
          <w:p w14:paraId="0BA366F5">
            <w:pPr>
              <w:widowControl/>
              <w:jc w:val="center"/>
              <w:rPr>
                <w:rFonts w:eastAsia="黑体"/>
                <w:color w:val="000000"/>
                <w:kern w:val="0"/>
                <w:sz w:val="24"/>
              </w:rPr>
            </w:pPr>
          </w:p>
        </w:tc>
        <w:tc>
          <w:tcPr>
            <w:tcW w:w="992" w:type="dxa"/>
            <w:tcBorders>
              <w:top w:val="nil"/>
              <w:left w:val="nil"/>
              <w:bottom w:val="single" w:color="auto" w:sz="4" w:space="0"/>
              <w:right w:val="single" w:color="auto" w:sz="4" w:space="0"/>
            </w:tcBorders>
            <w:noWrap/>
            <w:vAlign w:val="center"/>
          </w:tcPr>
          <w:p w14:paraId="16B16AD8">
            <w:pPr>
              <w:widowControl/>
              <w:jc w:val="center"/>
              <w:rPr>
                <w:rFonts w:eastAsia="黑体"/>
                <w:color w:val="000000"/>
                <w:kern w:val="0"/>
                <w:sz w:val="24"/>
              </w:rPr>
            </w:pPr>
          </w:p>
        </w:tc>
        <w:tc>
          <w:tcPr>
            <w:tcW w:w="1559" w:type="dxa"/>
            <w:tcBorders>
              <w:top w:val="nil"/>
              <w:left w:val="nil"/>
              <w:bottom w:val="single" w:color="auto" w:sz="4" w:space="0"/>
              <w:right w:val="single" w:color="auto" w:sz="4" w:space="0"/>
            </w:tcBorders>
            <w:noWrap/>
            <w:vAlign w:val="center"/>
          </w:tcPr>
          <w:p w14:paraId="2F5CAFE5">
            <w:pPr>
              <w:widowControl/>
              <w:jc w:val="center"/>
              <w:rPr>
                <w:rFonts w:eastAsia="黑体"/>
                <w:color w:val="000000"/>
                <w:kern w:val="0"/>
                <w:sz w:val="24"/>
              </w:rPr>
            </w:pPr>
          </w:p>
        </w:tc>
        <w:tc>
          <w:tcPr>
            <w:tcW w:w="2552" w:type="dxa"/>
            <w:tcBorders>
              <w:top w:val="nil"/>
              <w:left w:val="nil"/>
              <w:bottom w:val="single" w:color="auto" w:sz="4" w:space="0"/>
              <w:right w:val="single" w:color="auto" w:sz="4" w:space="0"/>
            </w:tcBorders>
            <w:noWrap/>
            <w:vAlign w:val="center"/>
          </w:tcPr>
          <w:p w14:paraId="11D4AC5A">
            <w:pPr>
              <w:widowControl/>
              <w:jc w:val="center"/>
              <w:rPr>
                <w:rFonts w:eastAsia="黑体"/>
                <w:color w:val="000000"/>
                <w:kern w:val="0"/>
                <w:sz w:val="24"/>
              </w:rPr>
            </w:pPr>
          </w:p>
        </w:tc>
        <w:tc>
          <w:tcPr>
            <w:tcW w:w="1685" w:type="dxa"/>
            <w:tcBorders>
              <w:top w:val="nil"/>
              <w:left w:val="nil"/>
              <w:bottom w:val="single" w:color="auto" w:sz="4" w:space="0"/>
              <w:right w:val="single" w:color="auto" w:sz="4" w:space="0"/>
            </w:tcBorders>
            <w:noWrap/>
            <w:vAlign w:val="center"/>
          </w:tcPr>
          <w:p w14:paraId="26E4A91A">
            <w:pPr>
              <w:widowControl/>
              <w:jc w:val="center"/>
              <w:rPr>
                <w:rFonts w:eastAsia="黑体"/>
                <w:color w:val="000000"/>
                <w:kern w:val="0"/>
                <w:sz w:val="24"/>
              </w:rPr>
            </w:pPr>
          </w:p>
        </w:tc>
        <w:tc>
          <w:tcPr>
            <w:tcW w:w="1068" w:type="dxa"/>
            <w:tcBorders>
              <w:top w:val="nil"/>
              <w:left w:val="nil"/>
              <w:bottom w:val="single" w:color="auto" w:sz="4" w:space="0"/>
              <w:right w:val="single" w:color="auto" w:sz="4" w:space="0"/>
            </w:tcBorders>
            <w:noWrap/>
            <w:vAlign w:val="center"/>
          </w:tcPr>
          <w:p w14:paraId="2D380AF6">
            <w:pPr>
              <w:widowControl/>
              <w:jc w:val="center"/>
              <w:rPr>
                <w:rFonts w:eastAsia="黑体"/>
                <w:color w:val="000000"/>
                <w:kern w:val="0"/>
                <w:sz w:val="24"/>
              </w:rPr>
            </w:pPr>
          </w:p>
        </w:tc>
      </w:tr>
    </w:tbl>
    <w:p w14:paraId="30322026">
      <w:pPr>
        <w:spacing w:line="560" w:lineRule="exact"/>
        <w:jc w:val="left"/>
        <w:rPr>
          <w:sz w:val="28"/>
          <w:szCs w:val="28"/>
        </w:rPr>
      </w:pPr>
    </w:p>
    <w:p w14:paraId="0E08147F">
      <w:r>
        <w:br w:type="page"/>
      </w:r>
    </w:p>
    <w:p w14:paraId="6706F293">
      <w:pPr>
        <w:spacing w:line="700" w:lineRule="exact"/>
        <w:jc w:val="center"/>
        <w:rPr>
          <w:rFonts w:eastAsia="黑体"/>
          <w:b/>
          <w:sz w:val="30"/>
          <w:szCs w:val="30"/>
        </w:rPr>
      </w:pPr>
      <w:r>
        <w:rPr>
          <w:rFonts w:eastAsia="黑体"/>
          <w:b/>
          <w:sz w:val="30"/>
          <w:szCs w:val="30"/>
        </w:rPr>
        <w:t>（</w:t>
      </w:r>
      <w:r>
        <w:rPr>
          <w:rFonts w:hint="eastAsia" w:eastAsia="黑体"/>
          <w:b/>
          <w:sz w:val="30"/>
          <w:szCs w:val="30"/>
        </w:rPr>
        <w:t>表二</w:t>
      </w:r>
      <w:r>
        <w:rPr>
          <w:rFonts w:eastAsia="黑体"/>
          <w:b/>
          <w:sz w:val="30"/>
          <w:szCs w:val="30"/>
        </w:rPr>
        <w:t>）</w:t>
      </w:r>
      <w:r>
        <w:rPr>
          <w:rFonts w:hint="eastAsia" w:eastAsia="黑体"/>
          <w:b/>
          <w:sz w:val="30"/>
          <w:szCs w:val="30"/>
        </w:rPr>
        <w:t>专家个人简明表</w:t>
      </w:r>
    </w:p>
    <w:tbl>
      <w:tblPr>
        <w:tblStyle w:val="20"/>
        <w:tblW w:w="7650" w:type="dxa"/>
        <w:jc w:val="center"/>
        <w:tblLayout w:type="autofit"/>
        <w:tblCellMar>
          <w:top w:w="0" w:type="dxa"/>
          <w:left w:w="108" w:type="dxa"/>
          <w:bottom w:w="0" w:type="dxa"/>
          <w:right w:w="108" w:type="dxa"/>
        </w:tblCellMar>
      </w:tblPr>
      <w:tblGrid>
        <w:gridCol w:w="1526"/>
        <w:gridCol w:w="1163"/>
        <w:gridCol w:w="1163"/>
        <w:gridCol w:w="1163"/>
        <w:gridCol w:w="1163"/>
        <w:gridCol w:w="1472"/>
      </w:tblGrid>
      <w:tr w14:paraId="653D0FAA">
        <w:tblPrEx>
          <w:tblCellMar>
            <w:top w:w="0" w:type="dxa"/>
            <w:left w:w="108" w:type="dxa"/>
            <w:bottom w:w="0" w:type="dxa"/>
            <w:right w:w="108" w:type="dxa"/>
          </w:tblCellMar>
        </w:tblPrEx>
        <w:trPr>
          <w:trHeight w:val="462" w:hRule="atLeast"/>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1094D237">
            <w:pPr>
              <w:widowControl/>
              <w:jc w:val="center"/>
              <w:rPr>
                <w:rFonts w:hint="eastAsia" w:ascii="黑体" w:hAnsi="黑体" w:eastAsia="黑体" w:cs="宋体"/>
                <w:color w:val="000000"/>
                <w:kern w:val="0"/>
                <w:sz w:val="22"/>
              </w:rPr>
            </w:pPr>
            <w:r>
              <w:rPr>
                <w:rFonts w:hint="eastAsia" w:ascii="黑体" w:hAnsi="黑体" w:eastAsia="黑体" w:cs="宋体"/>
                <w:color w:val="000000"/>
                <w:kern w:val="0"/>
                <w:sz w:val="22"/>
              </w:rPr>
              <w:t>姓名</w:t>
            </w:r>
          </w:p>
        </w:tc>
        <w:tc>
          <w:tcPr>
            <w:tcW w:w="1163" w:type="dxa"/>
            <w:tcBorders>
              <w:top w:val="single" w:color="auto" w:sz="4" w:space="0"/>
              <w:left w:val="nil"/>
              <w:bottom w:val="single" w:color="auto" w:sz="4" w:space="0"/>
              <w:right w:val="single" w:color="auto" w:sz="4" w:space="0"/>
            </w:tcBorders>
            <w:noWrap/>
            <w:vAlign w:val="center"/>
          </w:tcPr>
          <w:p w14:paraId="38512F2B">
            <w:pPr>
              <w:widowControl/>
              <w:jc w:val="left"/>
              <w:rPr>
                <w:rFonts w:hint="eastAsia" w:ascii="黑体" w:hAnsi="黑体" w:eastAsia="黑体" w:cs="宋体"/>
                <w:color w:val="000000"/>
                <w:kern w:val="0"/>
                <w:sz w:val="22"/>
              </w:rPr>
            </w:pPr>
          </w:p>
        </w:tc>
        <w:tc>
          <w:tcPr>
            <w:tcW w:w="1163" w:type="dxa"/>
            <w:tcBorders>
              <w:top w:val="single" w:color="auto" w:sz="4" w:space="0"/>
              <w:left w:val="nil"/>
              <w:bottom w:val="single" w:color="auto" w:sz="4" w:space="0"/>
              <w:right w:val="single" w:color="auto" w:sz="4" w:space="0"/>
            </w:tcBorders>
            <w:noWrap/>
            <w:vAlign w:val="center"/>
          </w:tcPr>
          <w:p w14:paraId="1D8B5E63">
            <w:pPr>
              <w:widowControl/>
              <w:jc w:val="center"/>
              <w:rPr>
                <w:rFonts w:hint="eastAsia" w:ascii="黑体" w:hAnsi="黑体" w:eastAsia="黑体" w:cs="宋体"/>
                <w:color w:val="000000"/>
                <w:kern w:val="0"/>
                <w:sz w:val="22"/>
              </w:rPr>
            </w:pPr>
            <w:r>
              <w:rPr>
                <w:rFonts w:hint="eastAsia" w:ascii="黑体" w:hAnsi="黑体" w:eastAsia="黑体" w:cs="宋体"/>
                <w:color w:val="000000"/>
                <w:kern w:val="0"/>
                <w:sz w:val="22"/>
              </w:rPr>
              <w:t>出生年月</w:t>
            </w:r>
          </w:p>
        </w:tc>
        <w:tc>
          <w:tcPr>
            <w:tcW w:w="1163" w:type="dxa"/>
            <w:tcBorders>
              <w:top w:val="single" w:color="auto" w:sz="4" w:space="0"/>
              <w:left w:val="nil"/>
              <w:bottom w:val="single" w:color="auto" w:sz="4" w:space="0"/>
              <w:right w:val="single" w:color="auto" w:sz="4" w:space="0"/>
            </w:tcBorders>
            <w:noWrap/>
            <w:vAlign w:val="center"/>
          </w:tcPr>
          <w:p w14:paraId="06B0C6AC">
            <w:pPr>
              <w:widowControl/>
              <w:jc w:val="left"/>
              <w:rPr>
                <w:rFonts w:hint="eastAsia" w:ascii="黑体" w:hAnsi="黑体" w:eastAsia="黑体" w:cs="宋体"/>
                <w:color w:val="000000"/>
                <w:kern w:val="0"/>
                <w:sz w:val="22"/>
              </w:rPr>
            </w:pPr>
          </w:p>
        </w:tc>
        <w:tc>
          <w:tcPr>
            <w:tcW w:w="1163" w:type="dxa"/>
            <w:tcBorders>
              <w:top w:val="single" w:color="auto" w:sz="4" w:space="0"/>
              <w:left w:val="nil"/>
              <w:bottom w:val="single" w:color="auto" w:sz="4" w:space="0"/>
              <w:right w:val="single" w:color="auto" w:sz="4" w:space="0"/>
            </w:tcBorders>
            <w:noWrap/>
            <w:vAlign w:val="center"/>
          </w:tcPr>
          <w:p w14:paraId="46C26BA2">
            <w:pPr>
              <w:widowControl/>
              <w:jc w:val="center"/>
              <w:rPr>
                <w:rFonts w:hint="eastAsia" w:ascii="黑体" w:hAnsi="黑体" w:eastAsia="黑体" w:cs="宋体"/>
                <w:color w:val="000000"/>
                <w:kern w:val="0"/>
                <w:sz w:val="22"/>
              </w:rPr>
            </w:pPr>
            <w:r>
              <w:rPr>
                <w:rFonts w:hint="eastAsia" w:ascii="黑体" w:hAnsi="黑体" w:eastAsia="黑体" w:cs="宋体"/>
                <w:color w:val="000000"/>
                <w:kern w:val="0"/>
                <w:sz w:val="22"/>
              </w:rPr>
              <w:t>民族</w:t>
            </w:r>
          </w:p>
        </w:tc>
        <w:tc>
          <w:tcPr>
            <w:tcW w:w="1472" w:type="dxa"/>
            <w:tcBorders>
              <w:top w:val="single" w:color="auto" w:sz="4" w:space="0"/>
              <w:left w:val="nil"/>
              <w:bottom w:val="single" w:color="auto" w:sz="4" w:space="0"/>
              <w:right w:val="single" w:color="auto" w:sz="4" w:space="0"/>
            </w:tcBorders>
            <w:noWrap/>
            <w:vAlign w:val="center"/>
          </w:tcPr>
          <w:p w14:paraId="2BA7F3B4">
            <w:pPr>
              <w:widowControl/>
              <w:jc w:val="left"/>
              <w:rPr>
                <w:rFonts w:hint="eastAsia" w:ascii="黑体" w:hAnsi="黑体" w:eastAsia="黑体" w:cs="宋体"/>
                <w:color w:val="000000"/>
                <w:kern w:val="0"/>
                <w:sz w:val="22"/>
              </w:rPr>
            </w:pPr>
          </w:p>
        </w:tc>
      </w:tr>
      <w:tr w14:paraId="1E75AA2A">
        <w:tblPrEx>
          <w:tblCellMar>
            <w:top w:w="0" w:type="dxa"/>
            <w:left w:w="108" w:type="dxa"/>
            <w:bottom w:w="0" w:type="dxa"/>
            <w:right w:w="108" w:type="dxa"/>
          </w:tblCellMar>
        </w:tblPrEx>
        <w:trPr>
          <w:trHeight w:val="462" w:hRule="atLeast"/>
          <w:jc w:val="center"/>
        </w:trPr>
        <w:tc>
          <w:tcPr>
            <w:tcW w:w="1526" w:type="dxa"/>
            <w:tcBorders>
              <w:top w:val="nil"/>
              <w:left w:val="single" w:color="auto" w:sz="4" w:space="0"/>
              <w:bottom w:val="single" w:color="auto" w:sz="4" w:space="0"/>
              <w:right w:val="single" w:color="auto" w:sz="4" w:space="0"/>
            </w:tcBorders>
            <w:noWrap/>
            <w:vAlign w:val="center"/>
          </w:tcPr>
          <w:p w14:paraId="728ECD56">
            <w:pPr>
              <w:widowControl/>
              <w:jc w:val="center"/>
              <w:rPr>
                <w:rFonts w:hint="eastAsia" w:ascii="黑体" w:hAnsi="黑体" w:eastAsia="黑体" w:cs="宋体"/>
                <w:color w:val="000000"/>
                <w:kern w:val="0"/>
                <w:sz w:val="22"/>
              </w:rPr>
            </w:pPr>
            <w:r>
              <w:rPr>
                <w:rFonts w:hint="eastAsia" w:ascii="黑体" w:hAnsi="黑体" w:eastAsia="黑体" w:cs="宋体"/>
                <w:color w:val="000000"/>
                <w:kern w:val="0"/>
                <w:sz w:val="22"/>
              </w:rPr>
              <w:t>联系方式</w:t>
            </w:r>
          </w:p>
        </w:tc>
        <w:tc>
          <w:tcPr>
            <w:tcW w:w="6124" w:type="dxa"/>
            <w:gridSpan w:val="5"/>
            <w:tcBorders>
              <w:top w:val="single" w:color="auto" w:sz="4" w:space="0"/>
              <w:left w:val="nil"/>
              <w:bottom w:val="single" w:color="auto" w:sz="4" w:space="0"/>
              <w:right w:val="single" w:color="auto" w:sz="4" w:space="0"/>
            </w:tcBorders>
            <w:noWrap/>
            <w:vAlign w:val="center"/>
          </w:tcPr>
          <w:p w14:paraId="6B68619D">
            <w:pPr>
              <w:widowControl/>
              <w:jc w:val="center"/>
              <w:rPr>
                <w:rFonts w:hint="eastAsia" w:ascii="黑体" w:hAnsi="黑体" w:eastAsia="黑体" w:cs="宋体"/>
                <w:color w:val="000000"/>
                <w:kern w:val="0"/>
                <w:sz w:val="22"/>
              </w:rPr>
            </w:pPr>
          </w:p>
        </w:tc>
      </w:tr>
      <w:tr w14:paraId="7C9A1C1E">
        <w:tblPrEx>
          <w:tblCellMar>
            <w:top w:w="0" w:type="dxa"/>
            <w:left w:w="108" w:type="dxa"/>
            <w:bottom w:w="0" w:type="dxa"/>
            <w:right w:w="108" w:type="dxa"/>
          </w:tblCellMar>
        </w:tblPrEx>
        <w:trPr>
          <w:trHeight w:val="462" w:hRule="atLeast"/>
          <w:jc w:val="center"/>
        </w:trPr>
        <w:tc>
          <w:tcPr>
            <w:tcW w:w="1526" w:type="dxa"/>
            <w:tcBorders>
              <w:top w:val="nil"/>
              <w:left w:val="single" w:color="auto" w:sz="4" w:space="0"/>
              <w:bottom w:val="single" w:color="auto" w:sz="4" w:space="0"/>
              <w:right w:val="single" w:color="auto" w:sz="4" w:space="0"/>
            </w:tcBorders>
            <w:noWrap/>
            <w:vAlign w:val="center"/>
          </w:tcPr>
          <w:p w14:paraId="230DD6EA">
            <w:pPr>
              <w:widowControl/>
              <w:jc w:val="center"/>
              <w:rPr>
                <w:rFonts w:hint="eastAsia" w:ascii="黑体" w:hAnsi="黑体" w:eastAsia="黑体" w:cs="宋体"/>
                <w:color w:val="000000"/>
                <w:kern w:val="0"/>
                <w:sz w:val="22"/>
              </w:rPr>
            </w:pPr>
            <w:r>
              <w:rPr>
                <w:rFonts w:hint="eastAsia" w:ascii="黑体" w:hAnsi="黑体" w:eastAsia="黑体" w:cs="宋体"/>
                <w:color w:val="000000"/>
                <w:kern w:val="0"/>
                <w:sz w:val="22"/>
              </w:rPr>
              <w:t>身份证号</w:t>
            </w:r>
          </w:p>
        </w:tc>
        <w:tc>
          <w:tcPr>
            <w:tcW w:w="6124" w:type="dxa"/>
            <w:gridSpan w:val="5"/>
            <w:tcBorders>
              <w:top w:val="single" w:color="auto" w:sz="4" w:space="0"/>
              <w:left w:val="nil"/>
              <w:bottom w:val="single" w:color="auto" w:sz="4" w:space="0"/>
              <w:right w:val="single" w:color="auto" w:sz="4" w:space="0"/>
            </w:tcBorders>
            <w:noWrap/>
            <w:vAlign w:val="center"/>
          </w:tcPr>
          <w:p w14:paraId="64FA97B0">
            <w:pPr>
              <w:widowControl/>
              <w:jc w:val="center"/>
              <w:rPr>
                <w:rFonts w:hint="eastAsia" w:ascii="黑体" w:hAnsi="黑体" w:eastAsia="黑体" w:cs="宋体"/>
                <w:color w:val="000000"/>
                <w:kern w:val="0"/>
                <w:sz w:val="22"/>
              </w:rPr>
            </w:pPr>
          </w:p>
        </w:tc>
      </w:tr>
      <w:tr w14:paraId="5CA6CF5B">
        <w:tblPrEx>
          <w:tblCellMar>
            <w:top w:w="0" w:type="dxa"/>
            <w:left w:w="108" w:type="dxa"/>
            <w:bottom w:w="0" w:type="dxa"/>
            <w:right w:w="108" w:type="dxa"/>
          </w:tblCellMar>
        </w:tblPrEx>
        <w:trPr>
          <w:trHeight w:val="462" w:hRule="atLeast"/>
          <w:jc w:val="center"/>
        </w:trPr>
        <w:tc>
          <w:tcPr>
            <w:tcW w:w="1526" w:type="dxa"/>
            <w:tcBorders>
              <w:top w:val="nil"/>
              <w:left w:val="single" w:color="auto" w:sz="4" w:space="0"/>
              <w:bottom w:val="single" w:color="auto" w:sz="4" w:space="0"/>
              <w:right w:val="single" w:color="auto" w:sz="4" w:space="0"/>
            </w:tcBorders>
            <w:noWrap/>
            <w:vAlign w:val="center"/>
          </w:tcPr>
          <w:p w14:paraId="3F359B4B">
            <w:pPr>
              <w:widowControl/>
              <w:jc w:val="center"/>
              <w:rPr>
                <w:rFonts w:hint="eastAsia" w:ascii="黑体" w:hAnsi="黑体" w:eastAsia="黑体" w:cs="宋体"/>
                <w:color w:val="000000"/>
                <w:kern w:val="0"/>
                <w:sz w:val="22"/>
              </w:rPr>
            </w:pPr>
            <w:r>
              <w:rPr>
                <w:rFonts w:hint="eastAsia" w:ascii="黑体" w:hAnsi="黑体" w:eastAsia="黑体" w:cs="宋体"/>
                <w:color w:val="000000"/>
                <w:kern w:val="0"/>
                <w:sz w:val="22"/>
              </w:rPr>
              <w:t>现工作单位</w:t>
            </w:r>
          </w:p>
        </w:tc>
        <w:tc>
          <w:tcPr>
            <w:tcW w:w="6124" w:type="dxa"/>
            <w:gridSpan w:val="5"/>
            <w:tcBorders>
              <w:top w:val="single" w:color="auto" w:sz="4" w:space="0"/>
              <w:left w:val="nil"/>
              <w:bottom w:val="single" w:color="auto" w:sz="4" w:space="0"/>
              <w:right w:val="single" w:color="auto" w:sz="4" w:space="0"/>
            </w:tcBorders>
            <w:noWrap/>
            <w:vAlign w:val="center"/>
          </w:tcPr>
          <w:p w14:paraId="06935169">
            <w:pPr>
              <w:widowControl/>
              <w:jc w:val="center"/>
              <w:rPr>
                <w:rFonts w:hint="eastAsia" w:ascii="黑体" w:hAnsi="黑体" w:eastAsia="黑体" w:cs="宋体"/>
                <w:color w:val="000000"/>
                <w:kern w:val="0"/>
                <w:sz w:val="22"/>
              </w:rPr>
            </w:pPr>
          </w:p>
        </w:tc>
      </w:tr>
      <w:tr w14:paraId="3CAAF211">
        <w:tblPrEx>
          <w:tblCellMar>
            <w:top w:w="0" w:type="dxa"/>
            <w:left w:w="108" w:type="dxa"/>
            <w:bottom w:w="0" w:type="dxa"/>
            <w:right w:w="108" w:type="dxa"/>
          </w:tblCellMar>
        </w:tblPrEx>
        <w:trPr>
          <w:trHeight w:val="462" w:hRule="atLeast"/>
          <w:jc w:val="center"/>
        </w:trPr>
        <w:tc>
          <w:tcPr>
            <w:tcW w:w="7650" w:type="dxa"/>
            <w:gridSpan w:val="6"/>
            <w:vMerge w:val="restart"/>
            <w:tcBorders>
              <w:top w:val="single" w:color="auto" w:sz="4" w:space="0"/>
              <w:left w:val="single" w:color="auto" w:sz="4" w:space="0"/>
              <w:bottom w:val="single" w:color="auto" w:sz="4" w:space="0"/>
              <w:right w:val="single" w:color="auto" w:sz="4" w:space="0"/>
            </w:tcBorders>
            <w:noWrap/>
          </w:tcPr>
          <w:p w14:paraId="066DC854">
            <w:pPr>
              <w:widowControl/>
              <w:jc w:val="left"/>
              <w:rPr>
                <w:rFonts w:hint="eastAsia" w:ascii="黑体" w:hAnsi="黑体" w:eastAsia="黑体" w:cs="宋体"/>
                <w:color w:val="000000"/>
                <w:kern w:val="0"/>
                <w:sz w:val="22"/>
              </w:rPr>
            </w:pPr>
            <w:r>
              <w:rPr>
                <w:rFonts w:hint="eastAsia" w:ascii="黑体" w:hAnsi="黑体" w:eastAsia="黑体" w:cs="宋体"/>
                <w:color w:val="000000"/>
                <w:kern w:val="0"/>
                <w:sz w:val="22"/>
              </w:rPr>
              <w:t>工作经历：</w:t>
            </w:r>
          </w:p>
        </w:tc>
      </w:tr>
      <w:tr w14:paraId="1D7D7D32">
        <w:tblPrEx>
          <w:tblCellMar>
            <w:top w:w="0" w:type="dxa"/>
            <w:left w:w="108" w:type="dxa"/>
            <w:bottom w:w="0" w:type="dxa"/>
            <w:right w:w="108" w:type="dxa"/>
          </w:tblCellMar>
        </w:tblPrEx>
        <w:trPr>
          <w:trHeight w:val="462" w:hRule="atLeast"/>
          <w:jc w:val="center"/>
        </w:trPr>
        <w:tc>
          <w:tcPr>
            <w:tcW w:w="7650" w:type="dxa"/>
            <w:gridSpan w:val="6"/>
            <w:vMerge w:val="continue"/>
            <w:tcBorders>
              <w:top w:val="single" w:color="auto" w:sz="4" w:space="0"/>
              <w:left w:val="single" w:color="auto" w:sz="4" w:space="0"/>
              <w:bottom w:val="single" w:color="auto" w:sz="4" w:space="0"/>
              <w:right w:val="single" w:color="auto" w:sz="4" w:space="0"/>
            </w:tcBorders>
            <w:vAlign w:val="center"/>
          </w:tcPr>
          <w:p w14:paraId="05154ED2">
            <w:pPr>
              <w:widowControl/>
              <w:jc w:val="left"/>
              <w:rPr>
                <w:rFonts w:hint="eastAsia" w:ascii="宋体" w:hAnsi="宋体" w:cs="宋体"/>
                <w:color w:val="000000"/>
                <w:kern w:val="0"/>
                <w:sz w:val="22"/>
              </w:rPr>
            </w:pPr>
          </w:p>
        </w:tc>
      </w:tr>
      <w:tr w14:paraId="04A1E870">
        <w:tblPrEx>
          <w:tblCellMar>
            <w:top w:w="0" w:type="dxa"/>
            <w:left w:w="108" w:type="dxa"/>
            <w:bottom w:w="0" w:type="dxa"/>
            <w:right w:w="108" w:type="dxa"/>
          </w:tblCellMar>
        </w:tblPrEx>
        <w:trPr>
          <w:trHeight w:val="462" w:hRule="atLeast"/>
          <w:jc w:val="center"/>
        </w:trPr>
        <w:tc>
          <w:tcPr>
            <w:tcW w:w="7650" w:type="dxa"/>
            <w:gridSpan w:val="6"/>
            <w:vMerge w:val="continue"/>
            <w:tcBorders>
              <w:top w:val="single" w:color="auto" w:sz="4" w:space="0"/>
              <w:left w:val="single" w:color="auto" w:sz="4" w:space="0"/>
              <w:bottom w:val="single" w:color="auto" w:sz="4" w:space="0"/>
              <w:right w:val="single" w:color="auto" w:sz="4" w:space="0"/>
            </w:tcBorders>
            <w:vAlign w:val="center"/>
          </w:tcPr>
          <w:p w14:paraId="7238B5C3">
            <w:pPr>
              <w:widowControl/>
              <w:jc w:val="left"/>
              <w:rPr>
                <w:rFonts w:hint="eastAsia" w:ascii="宋体" w:hAnsi="宋体" w:cs="宋体"/>
                <w:color w:val="000000"/>
                <w:kern w:val="0"/>
                <w:sz w:val="22"/>
              </w:rPr>
            </w:pPr>
          </w:p>
        </w:tc>
      </w:tr>
      <w:tr w14:paraId="192DCA35">
        <w:tblPrEx>
          <w:tblCellMar>
            <w:top w:w="0" w:type="dxa"/>
            <w:left w:w="108" w:type="dxa"/>
            <w:bottom w:w="0" w:type="dxa"/>
            <w:right w:w="108" w:type="dxa"/>
          </w:tblCellMar>
        </w:tblPrEx>
        <w:trPr>
          <w:trHeight w:val="462" w:hRule="atLeast"/>
          <w:jc w:val="center"/>
        </w:trPr>
        <w:tc>
          <w:tcPr>
            <w:tcW w:w="7650" w:type="dxa"/>
            <w:gridSpan w:val="6"/>
            <w:vMerge w:val="continue"/>
            <w:tcBorders>
              <w:top w:val="single" w:color="auto" w:sz="4" w:space="0"/>
              <w:left w:val="single" w:color="auto" w:sz="4" w:space="0"/>
              <w:bottom w:val="single" w:color="auto" w:sz="4" w:space="0"/>
              <w:right w:val="single" w:color="auto" w:sz="4" w:space="0"/>
            </w:tcBorders>
            <w:vAlign w:val="center"/>
          </w:tcPr>
          <w:p w14:paraId="525EC80F">
            <w:pPr>
              <w:widowControl/>
              <w:jc w:val="left"/>
              <w:rPr>
                <w:rFonts w:hint="eastAsia" w:ascii="宋体" w:hAnsi="宋体" w:cs="宋体"/>
                <w:color w:val="000000"/>
                <w:kern w:val="0"/>
                <w:sz w:val="22"/>
              </w:rPr>
            </w:pPr>
          </w:p>
        </w:tc>
      </w:tr>
      <w:tr w14:paraId="4D662AF7">
        <w:tblPrEx>
          <w:tblCellMar>
            <w:top w:w="0" w:type="dxa"/>
            <w:left w:w="108" w:type="dxa"/>
            <w:bottom w:w="0" w:type="dxa"/>
            <w:right w:w="108" w:type="dxa"/>
          </w:tblCellMar>
        </w:tblPrEx>
        <w:trPr>
          <w:trHeight w:val="462" w:hRule="atLeast"/>
          <w:jc w:val="center"/>
        </w:trPr>
        <w:tc>
          <w:tcPr>
            <w:tcW w:w="7650" w:type="dxa"/>
            <w:gridSpan w:val="6"/>
            <w:vMerge w:val="continue"/>
            <w:tcBorders>
              <w:top w:val="single" w:color="auto" w:sz="4" w:space="0"/>
              <w:left w:val="single" w:color="auto" w:sz="4" w:space="0"/>
              <w:bottom w:val="single" w:color="auto" w:sz="4" w:space="0"/>
              <w:right w:val="single" w:color="auto" w:sz="4" w:space="0"/>
            </w:tcBorders>
            <w:vAlign w:val="center"/>
          </w:tcPr>
          <w:p w14:paraId="0CB3162B">
            <w:pPr>
              <w:widowControl/>
              <w:jc w:val="left"/>
              <w:rPr>
                <w:rFonts w:hint="eastAsia" w:ascii="宋体" w:hAnsi="宋体" w:cs="宋体"/>
                <w:color w:val="000000"/>
                <w:kern w:val="0"/>
                <w:sz w:val="22"/>
              </w:rPr>
            </w:pPr>
          </w:p>
        </w:tc>
      </w:tr>
      <w:tr w14:paraId="6A77FF05">
        <w:tblPrEx>
          <w:tblCellMar>
            <w:top w:w="0" w:type="dxa"/>
            <w:left w:w="108" w:type="dxa"/>
            <w:bottom w:w="0" w:type="dxa"/>
            <w:right w:w="108" w:type="dxa"/>
          </w:tblCellMar>
        </w:tblPrEx>
        <w:trPr>
          <w:trHeight w:val="462" w:hRule="atLeast"/>
          <w:jc w:val="center"/>
        </w:trPr>
        <w:tc>
          <w:tcPr>
            <w:tcW w:w="7650" w:type="dxa"/>
            <w:gridSpan w:val="6"/>
            <w:vMerge w:val="continue"/>
            <w:tcBorders>
              <w:top w:val="single" w:color="auto" w:sz="4" w:space="0"/>
              <w:left w:val="single" w:color="auto" w:sz="4" w:space="0"/>
              <w:bottom w:val="single" w:color="auto" w:sz="4" w:space="0"/>
              <w:right w:val="single" w:color="auto" w:sz="4" w:space="0"/>
            </w:tcBorders>
            <w:vAlign w:val="center"/>
          </w:tcPr>
          <w:p w14:paraId="638B1A2C">
            <w:pPr>
              <w:widowControl/>
              <w:jc w:val="left"/>
              <w:rPr>
                <w:rFonts w:hint="eastAsia" w:ascii="宋体" w:hAnsi="宋体" w:cs="宋体"/>
                <w:color w:val="000000"/>
                <w:kern w:val="0"/>
                <w:sz w:val="22"/>
              </w:rPr>
            </w:pPr>
          </w:p>
        </w:tc>
      </w:tr>
      <w:tr w14:paraId="686E5ADA">
        <w:tblPrEx>
          <w:tblCellMar>
            <w:top w:w="0" w:type="dxa"/>
            <w:left w:w="108" w:type="dxa"/>
            <w:bottom w:w="0" w:type="dxa"/>
            <w:right w:w="108" w:type="dxa"/>
          </w:tblCellMar>
        </w:tblPrEx>
        <w:trPr>
          <w:trHeight w:val="462" w:hRule="atLeast"/>
          <w:jc w:val="center"/>
        </w:trPr>
        <w:tc>
          <w:tcPr>
            <w:tcW w:w="7650" w:type="dxa"/>
            <w:gridSpan w:val="6"/>
            <w:vMerge w:val="continue"/>
            <w:tcBorders>
              <w:top w:val="single" w:color="auto" w:sz="4" w:space="0"/>
              <w:left w:val="single" w:color="auto" w:sz="4" w:space="0"/>
              <w:bottom w:val="single" w:color="auto" w:sz="4" w:space="0"/>
              <w:right w:val="single" w:color="auto" w:sz="4" w:space="0"/>
            </w:tcBorders>
            <w:vAlign w:val="center"/>
          </w:tcPr>
          <w:p w14:paraId="187F5862">
            <w:pPr>
              <w:widowControl/>
              <w:jc w:val="left"/>
              <w:rPr>
                <w:rFonts w:hint="eastAsia" w:ascii="宋体" w:hAnsi="宋体" w:cs="宋体"/>
                <w:color w:val="000000"/>
                <w:kern w:val="0"/>
                <w:sz w:val="22"/>
              </w:rPr>
            </w:pPr>
          </w:p>
        </w:tc>
      </w:tr>
      <w:tr w14:paraId="5AD095E7">
        <w:tblPrEx>
          <w:tblCellMar>
            <w:top w:w="0" w:type="dxa"/>
            <w:left w:w="108" w:type="dxa"/>
            <w:bottom w:w="0" w:type="dxa"/>
            <w:right w:w="108" w:type="dxa"/>
          </w:tblCellMar>
        </w:tblPrEx>
        <w:trPr>
          <w:trHeight w:val="462" w:hRule="atLeast"/>
          <w:jc w:val="center"/>
        </w:trPr>
        <w:tc>
          <w:tcPr>
            <w:tcW w:w="7650" w:type="dxa"/>
            <w:gridSpan w:val="6"/>
            <w:vMerge w:val="continue"/>
            <w:tcBorders>
              <w:top w:val="single" w:color="auto" w:sz="4" w:space="0"/>
              <w:left w:val="single" w:color="auto" w:sz="4" w:space="0"/>
              <w:bottom w:val="single" w:color="auto" w:sz="4" w:space="0"/>
              <w:right w:val="single" w:color="auto" w:sz="4" w:space="0"/>
            </w:tcBorders>
            <w:vAlign w:val="center"/>
          </w:tcPr>
          <w:p w14:paraId="6CA04053">
            <w:pPr>
              <w:widowControl/>
              <w:jc w:val="left"/>
              <w:rPr>
                <w:rFonts w:hint="eastAsia" w:ascii="宋体" w:hAnsi="宋体" w:cs="宋体"/>
                <w:color w:val="000000"/>
                <w:kern w:val="0"/>
                <w:sz w:val="22"/>
              </w:rPr>
            </w:pPr>
          </w:p>
        </w:tc>
      </w:tr>
      <w:tr w14:paraId="01B4EFAA">
        <w:tblPrEx>
          <w:tblCellMar>
            <w:top w:w="0" w:type="dxa"/>
            <w:left w:w="108" w:type="dxa"/>
            <w:bottom w:w="0" w:type="dxa"/>
            <w:right w:w="108" w:type="dxa"/>
          </w:tblCellMar>
        </w:tblPrEx>
        <w:trPr>
          <w:trHeight w:val="462" w:hRule="atLeast"/>
          <w:jc w:val="center"/>
        </w:trPr>
        <w:tc>
          <w:tcPr>
            <w:tcW w:w="7650" w:type="dxa"/>
            <w:gridSpan w:val="6"/>
            <w:vMerge w:val="continue"/>
            <w:tcBorders>
              <w:top w:val="single" w:color="auto" w:sz="4" w:space="0"/>
              <w:left w:val="single" w:color="auto" w:sz="4" w:space="0"/>
              <w:bottom w:val="single" w:color="auto" w:sz="4" w:space="0"/>
              <w:right w:val="single" w:color="auto" w:sz="4" w:space="0"/>
            </w:tcBorders>
            <w:vAlign w:val="center"/>
          </w:tcPr>
          <w:p w14:paraId="0F13B289">
            <w:pPr>
              <w:widowControl/>
              <w:jc w:val="left"/>
              <w:rPr>
                <w:rFonts w:hint="eastAsia" w:ascii="宋体" w:hAnsi="宋体" w:cs="宋体"/>
                <w:color w:val="000000"/>
                <w:kern w:val="0"/>
                <w:sz w:val="22"/>
              </w:rPr>
            </w:pPr>
          </w:p>
        </w:tc>
      </w:tr>
      <w:tr w14:paraId="5F588D24">
        <w:tblPrEx>
          <w:tblCellMar>
            <w:top w:w="0" w:type="dxa"/>
            <w:left w:w="108" w:type="dxa"/>
            <w:bottom w:w="0" w:type="dxa"/>
            <w:right w:w="108" w:type="dxa"/>
          </w:tblCellMar>
        </w:tblPrEx>
        <w:trPr>
          <w:trHeight w:val="462" w:hRule="atLeast"/>
          <w:jc w:val="center"/>
        </w:trPr>
        <w:tc>
          <w:tcPr>
            <w:tcW w:w="7650" w:type="dxa"/>
            <w:gridSpan w:val="6"/>
            <w:vMerge w:val="continue"/>
            <w:tcBorders>
              <w:top w:val="single" w:color="auto" w:sz="4" w:space="0"/>
              <w:left w:val="single" w:color="auto" w:sz="4" w:space="0"/>
              <w:bottom w:val="single" w:color="auto" w:sz="4" w:space="0"/>
              <w:right w:val="single" w:color="auto" w:sz="4" w:space="0"/>
            </w:tcBorders>
            <w:vAlign w:val="center"/>
          </w:tcPr>
          <w:p w14:paraId="155B0196">
            <w:pPr>
              <w:widowControl/>
              <w:jc w:val="left"/>
              <w:rPr>
                <w:rFonts w:hint="eastAsia" w:ascii="宋体" w:hAnsi="宋体" w:cs="宋体"/>
                <w:color w:val="000000"/>
                <w:kern w:val="0"/>
                <w:sz w:val="22"/>
              </w:rPr>
            </w:pPr>
          </w:p>
        </w:tc>
      </w:tr>
      <w:tr w14:paraId="196738B9">
        <w:tblPrEx>
          <w:tblCellMar>
            <w:top w:w="0" w:type="dxa"/>
            <w:left w:w="108" w:type="dxa"/>
            <w:bottom w:w="0" w:type="dxa"/>
            <w:right w:w="108" w:type="dxa"/>
          </w:tblCellMar>
        </w:tblPrEx>
        <w:trPr>
          <w:trHeight w:val="462" w:hRule="atLeast"/>
          <w:jc w:val="center"/>
        </w:trPr>
        <w:tc>
          <w:tcPr>
            <w:tcW w:w="7650" w:type="dxa"/>
            <w:gridSpan w:val="6"/>
            <w:vMerge w:val="continue"/>
            <w:tcBorders>
              <w:top w:val="single" w:color="auto" w:sz="4" w:space="0"/>
              <w:left w:val="single" w:color="auto" w:sz="4" w:space="0"/>
              <w:bottom w:val="single" w:color="auto" w:sz="4" w:space="0"/>
              <w:right w:val="single" w:color="auto" w:sz="4" w:space="0"/>
            </w:tcBorders>
            <w:vAlign w:val="center"/>
          </w:tcPr>
          <w:p w14:paraId="632B9104">
            <w:pPr>
              <w:widowControl/>
              <w:jc w:val="left"/>
              <w:rPr>
                <w:rFonts w:hint="eastAsia" w:ascii="宋体" w:hAnsi="宋体" w:cs="宋体"/>
                <w:color w:val="000000"/>
                <w:kern w:val="0"/>
                <w:sz w:val="22"/>
              </w:rPr>
            </w:pPr>
          </w:p>
        </w:tc>
      </w:tr>
      <w:tr w14:paraId="67441F1D">
        <w:tblPrEx>
          <w:tblCellMar>
            <w:top w:w="0" w:type="dxa"/>
            <w:left w:w="108" w:type="dxa"/>
            <w:bottom w:w="0" w:type="dxa"/>
            <w:right w:w="108" w:type="dxa"/>
          </w:tblCellMar>
        </w:tblPrEx>
        <w:trPr>
          <w:trHeight w:val="462" w:hRule="atLeast"/>
          <w:jc w:val="center"/>
        </w:trPr>
        <w:tc>
          <w:tcPr>
            <w:tcW w:w="7650" w:type="dxa"/>
            <w:gridSpan w:val="6"/>
            <w:vMerge w:val="continue"/>
            <w:tcBorders>
              <w:top w:val="single" w:color="auto" w:sz="4" w:space="0"/>
              <w:left w:val="single" w:color="auto" w:sz="4" w:space="0"/>
              <w:bottom w:val="single" w:color="auto" w:sz="4" w:space="0"/>
              <w:right w:val="single" w:color="auto" w:sz="4" w:space="0"/>
            </w:tcBorders>
            <w:vAlign w:val="center"/>
          </w:tcPr>
          <w:p w14:paraId="27F7C4C2">
            <w:pPr>
              <w:widowControl/>
              <w:jc w:val="left"/>
              <w:rPr>
                <w:rFonts w:hint="eastAsia" w:ascii="宋体" w:hAnsi="宋体" w:cs="宋体"/>
                <w:color w:val="000000"/>
                <w:kern w:val="0"/>
                <w:sz w:val="22"/>
              </w:rPr>
            </w:pPr>
          </w:p>
        </w:tc>
      </w:tr>
      <w:tr w14:paraId="03361B3A">
        <w:tblPrEx>
          <w:tblCellMar>
            <w:top w:w="0" w:type="dxa"/>
            <w:left w:w="108" w:type="dxa"/>
            <w:bottom w:w="0" w:type="dxa"/>
            <w:right w:w="108" w:type="dxa"/>
          </w:tblCellMar>
        </w:tblPrEx>
        <w:trPr>
          <w:trHeight w:val="462" w:hRule="atLeast"/>
          <w:jc w:val="center"/>
        </w:trPr>
        <w:tc>
          <w:tcPr>
            <w:tcW w:w="7650" w:type="dxa"/>
            <w:gridSpan w:val="6"/>
            <w:vMerge w:val="continue"/>
            <w:tcBorders>
              <w:top w:val="single" w:color="auto" w:sz="4" w:space="0"/>
              <w:left w:val="single" w:color="auto" w:sz="4" w:space="0"/>
              <w:bottom w:val="single" w:color="auto" w:sz="4" w:space="0"/>
              <w:right w:val="single" w:color="auto" w:sz="4" w:space="0"/>
            </w:tcBorders>
            <w:vAlign w:val="center"/>
          </w:tcPr>
          <w:p w14:paraId="3B6A972B">
            <w:pPr>
              <w:widowControl/>
              <w:jc w:val="left"/>
              <w:rPr>
                <w:rFonts w:hint="eastAsia" w:ascii="宋体" w:hAnsi="宋体" w:cs="宋体"/>
                <w:color w:val="000000"/>
                <w:kern w:val="0"/>
                <w:sz w:val="22"/>
              </w:rPr>
            </w:pPr>
          </w:p>
        </w:tc>
      </w:tr>
    </w:tbl>
    <w:p w14:paraId="4DBF21F0">
      <w:pPr>
        <w:widowControl/>
        <w:jc w:val="left"/>
        <w:rPr>
          <w:sz w:val="28"/>
          <w:szCs w:val="28"/>
        </w:rPr>
      </w:pPr>
    </w:p>
    <w:p w14:paraId="3885D1ED">
      <w:pPr>
        <w:widowControl/>
        <w:jc w:val="left"/>
        <w:rPr>
          <w:sz w:val="28"/>
          <w:szCs w:val="28"/>
        </w:rPr>
      </w:pPr>
    </w:p>
    <w:p w14:paraId="00D3447F">
      <w:pPr>
        <w:widowControl/>
        <w:jc w:val="left"/>
        <w:rPr>
          <w:color w:val="FF0000"/>
          <w:sz w:val="28"/>
          <w:szCs w:val="28"/>
        </w:rPr>
      </w:pPr>
      <w:r>
        <w:rPr>
          <w:rFonts w:hint="eastAsia"/>
          <w:color w:val="FF0000"/>
          <w:sz w:val="28"/>
          <w:szCs w:val="28"/>
        </w:rPr>
        <w:t>备注：</w:t>
      </w:r>
    </w:p>
    <w:p w14:paraId="43F775FB">
      <w:pPr>
        <w:widowControl/>
        <w:ind w:firstLine="560" w:firstLineChars="200"/>
        <w:jc w:val="left"/>
        <w:rPr>
          <w:color w:val="FF0000"/>
          <w:sz w:val="28"/>
          <w:szCs w:val="28"/>
        </w:rPr>
      </w:pPr>
      <w:r>
        <w:rPr>
          <w:rFonts w:hint="eastAsia"/>
          <w:color w:val="FF0000"/>
          <w:sz w:val="28"/>
          <w:szCs w:val="28"/>
        </w:rPr>
        <w:t>（表二）每位专家信息均需填写一份</w:t>
      </w:r>
    </w:p>
    <w:p w14:paraId="077600B8">
      <w:r>
        <w:br w:type="page"/>
      </w:r>
    </w:p>
    <w:p w14:paraId="55064C50">
      <w:pPr>
        <w:spacing w:line="700" w:lineRule="exact"/>
        <w:jc w:val="center"/>
        <w:rPr>
          <w:rFonts w:eastAsia="黑体"/>
          <w:b/>
          <w:sz w:val="30"/>
          <w:szCs w:val="30"/>
        </w:rPr>
      </w:pPr>
      <w:r>
        <w:rPr>
          <w:rFonts w:hint="eastAsia" w:eastAsia="黑体"/>
          <w:b/>
          <w:sz w:val="30"/>
          <w:szCs w:val="30"/>
        </w:rPr>
        <w:t>七</w:t>
      </w:r>
      <w:r>
        <w:rPr>
          <w:rFonts w:eastAsia="黑体"/>
          <w:b/>
          <w:sz w:val="30"/>
          <w:szCs w:val="30"/>
        </w:rPr>
        <w:t>、服务方案</w:t>
      </w:r>
    </w:p>
    <w:p w14:paraId="6DAA7F1D">
      <w:r>
        <w:br w:type="page"/>
      </w:r>
    </w:p>
    <w:p w14:paraId="40DB6483">
      <w:pPr>
        <w:spacing w:line="700" w:lineRule="exact"/>
        <w:jc w:val="center"/>
        <w:rPr>
          <w:rFonts w:eastAsia="黑体"/>
          <w:b/>
          <w:sz w:val="30"/>
          <w:szCs w:val="30"/>
        </w:rPr>
      </w:pPr>
      <w:r>
        <w:rPr>
          <w:rFonts w:hint="eastAsia" w:eastAsia="黑体"/>
          <w:b/>
          <w:sz w:val="30"/>
          <w:szCs w:val="30"/>
        </w:rPr>
        <w:t>八</w:t>
      </w:r>
      <w:r>
        <w:rPr>
          <w:rFonts w:eastAsia="黑体"/>
          <w:b/>
          <w:sz w:val="30"/>
          <w:szCs w:val="30"/>
        </w:rPr>
        <w:t>、</w:t>
      </w:r>
      <w:r>
        <w:rPr>
          <w:rFonts w:hint="eastAsia" w:eastAsia="黑体"/>
          <w:b/>
          <w:sz w:val="30"/>
          <w:szCs w:val="30"/>
        </w:rPr>
        <w:t>其他相关证明资料</w:t>
      </w:r>
    </w:p>
    <w:p w14:paraId="3BABBB80">
      <w:pPr>
        <w:spacing w:line="560" w:lineRule="exact"/>
        <w:ind w:firstLine="560" w:firstLineChars="200"/>
        <w:jc w:val="left"/>
        <w:rPr>
          <w:color w:val="FF0000"/>
          <w:sz w:val="28"/>
          <w:szCs w:val="28"/>
        </w:rPr>
      </w:pPr>
      <w:r>
        <w:rPr>
          <w:color w:val="FF0000"/>
          <w:sz w:val="28"/>
          <w:szCs w:val="28"/>
        </w:rPr>
        <w:t>提供符合</w:t>
      </w:r>
      <w:r>
        <w:rPr>
          <w:rFonts w:hint="eastAsia"/>
          <w:color w:val="FF0000"/>
          <w:sz w:val="28"/>
          <w:szCs w:val="28"/>
        </w:rPr>
        <w:t>比选</w:t>
      </w:r>
      <w:r>
        <w:rPr>
          <w:color w:val="FF0000"/>
          <w:sz w:val="28"/>
          <w:szCs w:val="28"/>
        </w:rPr>
        <w:t>邀请、采购需求及</w:t>
      </w:r>
      <w:r>
        <w:rPr>
          <w:rFonts w:hint="eastAsia"/>
          <w:color w:val="FF0000"/>
          <w:sz w:val="28"/>
          <w:szCs w:val="28"/>
        </w:rPr>
        <w:t>比选</w:t>
      </w:r>
      <w:r>
        <w:rPr>
          <w:color w:val="FF0000"/>
          <w:sz w:val="28"/>
          <w:szCs w:val="28"/>
        </w:rPr>
        <w:t>方法和标准规定的相关证明文件。</w:t>
      </w:r>
    </w:p>
    <w:p w14:paraId="4644E309">
      <w:pPr>
        <w:spacing w:line="560" w:lineRule="exact"/>
        <w:ind w:firstLine="560" w:firstLineChars="200"/>
        <w:jc w:val="left"/>
        <w:rPr>
          <w:color w:val="FF0000"/>
          <w:sz w:val="28"/>
          <w:szCs w:val="28"/>
        </w:rPr>
      </w:pPr>
    </w:p>
    <w:p w14:paraId="5BC69953">
      <w:pPr>
        <w:spacing w:line="560" w:lineRule="exact"/>
        <w:ind w:firstLine="562" w:firstLineChars="200"/>
        <w:jc w:val="left"/>
        <w:rPr>
          <w:b/>
          <w:color w:val="FF0000"/>
          <w:sz w:val="28"/>
          <w:szCs w:val="28"/>
        </w:rPr>
      </w:pPr>
      <w:r>
        <w:rPr>
          <w:b/>
          <w:color w:val="FF0000"/>
          <w:sz w:val="28"/>
          <w:szCs w:val="28"/>
        </w:rPr>
        <w:t>特别提示:</w:t>
      </w:r>
    </w:p>
    <w:p w14:paraId="6CF4E2CF">
      <w:pPr>
        <w:spacing w:line="560" w:lineRule="exact"/>
        <w:ind w:firstLine="560" w:firstLineChars="200"/>
        <w:jc w:val="left"/>
        <w:rPr>
          <w:color w:val="FF0000"/>
          <w:sz w:val="28"/>
          <w:szCs w:val="28"/>
        </w:rPr>
      </w:pPr>
      <w:r>
        <w:rPr>
          <w:color w:val="FF0000"/>
          <w:sz w:val="28"/>
          <w:szCs w:val="28"/>
        </w:rPr>
        <w:t>参选人在比选文件制作时可在此栏内上传</w:t>
      </w:r>
      <w:r>
        <w:rPr>
          <w:rFonts w:hint="eastAsia"/>
          <w:color w:val="FF0000"/>
          <w:sz w:val="28"/>
          <w:szCs w:val="28"/>
        </w:rPr>
        <w:t>比选</w:t>
      </w:r>
      <w:r>
        <w:rPr>
          <w:color w:val="FF0000"/>
          <w:sz w:val="28"/>
          <w:szCs w:val="28"/>
        </w:rPr>
        <w:t>文件要求上传的证明资料，如营业执照、税务登记证、人员证书、资质证书、荣誉奖项等，应将上述证明材料制作成扫描件上传。</w:t>
      </w:r>
    </w:p>
    <w:p w14:paraId="09AE215A"/>
    <w:p w14:paraId="784240CD"/>
    <w:p w14:paraId="20BCE0C6"/>
    <w:p w14:paraId="0907DFC7"/>
    <w:p w14:paraId="0E209296"/>
    <w:p w14:paraId="12A44E4D"/>
    <w:p w14:paraId="445C903A"/>
    <w:p w14:paraId="2E15DA03"/>
    <w:p w14:paraId="17596FDF"/>
    <w:p w14:paraId="5D257C20"/>
    <w:p w14:paraId="0217C7B9"/>
    <w:p w14:paraId="6555AD7E">
      <w:pPr>
        <w:jc w:val="center"/>
      </w:pPr>
    </w:p>
    <w:sectPr>
      <w:footerReference r:id="rId5" w:type="default"/>
      <w:pgSz w:w="11906" w:h="16838"/>
      <w:pgMar w:top="850" w:right="850" w:bottom="850" w:left="1134" w:header="567"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CA58E">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A089C">
    <w:pPr>
      <w:pStyle w:val="12"/>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6D3D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3EEAD6"/>
    <w:multiLevelType w:val="singleLevel"/>
    <w:tmpl w:val="6D3EEAD6"/>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1MzRkYjg2ZTVlZTc1NmQ5ZDZkZTIwNTYwNzE2Y2YifQ=="/>
  </w:docVars>
  <w:rsids>
    <w:rsidRoot w:val="5C39333B"/>
    <w:rsid w:val="00022DDA"/>
    <w:rsid w:val="00032467"/>
    <w:rsid w:val="00046FFF"/>
    <w:rsid w:val="00052DE3"/>
    <w:rsid w:val="000568E8"/>
    <w:rsid w:val="00061FC1"/>
    <w:rsid w:val="00073B20"/>
    <w:rsid w:val="000876F7"/>
    <w:rsid w:val="0009423B"/>
    <w:rsid w:val="000A62BB"/>
    <w:rsid w:val="000A7BC1"/>
    <w:rsid w:val="000C3500"/>
    <w:rsid w:val="000D5B45"/>
    <w:rsid w:val="000E62EB"/>
    <w:rsid w:val="000E64A5"/>
    <w:rsid w:val="000F0FD0"/>
    <w:rsid w:val="000F1387"/>
    <w:rsid w:val="00107AB2"/>
    <w:rsid w:val="00123074"/>
    <w:rsid w:val="00133FD4"/>
    <w:rsid w:val="00136597"/>
    <w:rsid w:val="00136AEE"/>
    <w:rsid w:val="00146809"/>
    <w:rsid w:val="0014700B"/>
    <w:rsid w:val="001521C6"/>
    <w:rsid w:val="00172F2B"/>
    <w:rsid w:val="001750DA"/>
    <w:rsid w:val="001772B2"/>
    <w:rsid w:val="0018445F"/>
    <w:rsid w:val="00195AFE"/>
    <w:rsid w:val="00197390"/>
    <w:rsid w:val="001B29B9"/>
    <w:rsid w:val="001B5A75"/>
    <w:rsid w:val="001B741D"/>
    <w:rsid w:val="001C08D6"/>
    <w:rsid w:val="001C0943"/>
    <w:rsid w:val="001C3ADB"/>
    <w:rsid w:val="001C71DA"/>
    <w:rsid w:val="001D67D0"/>
    <w:rsid w:val="001F3741"/>
    <w:rsid w:val="001F5EA5"/>
    <w:rsid w:val="0024531A"/>
    <w:rsid w:val="002462CC"/>
    <w:rsid w:val="00253343"/>
    <w:rsid w:val="0027238D"/>
    <w:rsid w:val="002741E8"/>
    <w:rsid w:val="002773C9"/>
    <w:rsid w:val="002A4278"/>
    <w:rsid w:val="002A4BBC"/>
    <w:rsid w:val="002D1692"/>
    <w:rsid w:val="002D4E7A"/>
    <w:rsid w:val="002E0D0A"/>
    <w:rsid w:val="002E791B"/>
    <w:rsid w:val="0034559A"/>
    <w:rsid w:val="003546CF"/>
    <w:rsid w:val="00380ED3"/>
    <w:rsid w:val="00385518"/>
    <w:rsid w:val="003A653F"/>
    <w:rsid w:val="003C1542"/>
    <w:rsid w:val="00435765"/>
    <w:rsid w:val="004436F8"/>
    <w:rsid w:val="00447A3F"/>
    <w:rsid w:val="00457FEA"/>
    <w:rsid w:val="00466E76"/>
    <w:rsid w:val="004741BD"/>
    <w:rsid w:val="00481AC4"/>
    <w:rsid w:val="00484679"/>
    <w:rsid w:val="00484B5B"/>
    <w:rsid w:val="00496877"/>
    <w:rsid w:val="004B74C4"/>
    <w:rsid w:val="004E761E"/>
    <w:rsid w:val="004F0AB1"/>
    <w:rsid w:val="00524B6C"/>
    <w:rsid w:val="005366AF"/>
    <w:rsid w:val="00540A06"/>
    <w:rsid w:val="00555924"/>
    <w:rsid w:val="00555D66"/>
    <w:rsid w:val="005648CF"/>
    <w:rsid w:val="00573E04"/>
    <w:rsid w:val="0057757F"/>
    <w:rsid w:val="00586501"/>
    <w:rsid w:val="005F0295"/>
    <w:rsid w:val="005F5B34"/>
    <w:rsid w:val="00625823"/>
    <w:rsid w:val="0063114E"/>
    <w:rsid w:val="00635371"/>
    <w:rsid w:val="0065349F"/>
    <w:rsid w:val="00655548"/>
    <w:rsid w:val="00673ECF"/>
    <w:rsid w:val="00683F09"/>
    <w:rsid w:val="006A292A"/>
    <w:rsid w:val="006A6F12"/>
    <w:rsid w:val="006B3C16"/>
    <w:rsid w:val="006C2578"/>
    <w:rsid w:val="006C290F"/>
    <w:rsid w:val="006C472A"/>
    <w:rsid w:val="006C50D1"/>
    <w:rsid w:val="00700888"/>
    <w:rsid w:val="00753393"/>
    <w:rsid w:val="007B3851"/>
    <w:rsid w:val="007C185D"/>
    <w:rsid w:val="007E6BF5"/>
    <w:rsid w:val="007F017A"/>
    <w:rsid w:val="007F0B0C"/>
    <w:rsid w:val="0080235D"/>
    <w:rsid w:val="00823232"/>
    <w:rsid w:val="00854E9C"/>
    <w:rsid w:val="00855CB1"/>
    <w:rsid w:val="00865803"/>
    <w:rsid w:val="008703BC"/>
    <w:rsid w:val="0088389A"/>
    <w:rsid w:val="00885AC4"/>
    <w:rsid w:val="00894277"/>
    <w:rsid w:val="00894A7C"/>
    <w:rsid w:val="008B0FD3"/>
    <w:rsid w:val="008C3719"/>
    <w:rsid w:val="008F3BEE"/>
    <w:rsid w:val="0096332D"/>
    <w:rsid w:val="00964A5E"/>
    <w:rsid w:val="009A6DE2"/>
    <w:rsid w:val="009B12D2"/>
    <w:rsid w:val="00A2014A"/>
    <w:rsid w:val="00A232C3"/>
    <w:rsid w:val="00A3295D"/>
    <w:rsid w:val="00A44E70"/>
    <w:rsid w:val="00A57B58"/>
    <w:rsid w:val="00A77D0E"/>
    <w:rsid w:val="00A907CA"/>
    <w:rsid w:val="00AC5509"/>
    <w:rsid w:val="00AE4591"/>
    <w:rsid w:val="00AF3986"/>
    <w:rsid w:val="00B027BF"/>
    <w:rsid w:val="00B10237"/>
    <w:rsid w:val="00B10BBC"/>
    <w:rsid w:val="00B53290"/>
    <w:rsid w:val="00B602B3"/>
    <w:rsid w:val="00B763CD"/>
    <w:rsid w:val="00BA53A4"/>
    <w:rsid w:val="00BD475D"/>
    <w:rsid w:val="00BF3347"/>
    <w:rsid w:val="00C22F79"/>
    <w:rsid w:val="00C25A8E"/>
    <w:rsid w:val="00C43CB2"/>
    <w:rsid w:val="00C57B06"/>
    <w:rsid w:val="00C8591D"/>
    <w:rsid w:val="00C94D45"/>
    <w:rsid w:val="00CA339D"/>
    <w:rsid w:val="00CC187C"/>
    <w:rsid w:val="00CD220A"/>
    <w:rsid w:val="00CD4526"/>
    <w:rsid w:val="00CF5D1C"/>
    <w:rsid w:val="00D22714"/>
    <w:rsid w:val="00D3556C"/>
    <w:rsid w:val="00D43ECD"/>
    <w:rsid w:val="00D63BC6"/>
    <w:rsid w:val="00D858C3"/>
    <w:rsid w:val="00D8600C"/>
    <w:rsid w:val="00DB1199"/>
    <w:rsid w:val="00DC4A4C"/>
    <w:rsid w:val="00DD2B43"/>
    <w:rsid w:val="00DD78FC"/>
    <w:rsid w:val="00DF7A7C"/>
    <w:rsid w:val="00E256CF"/>
    <w:rsid w:val="00E32EE3"/>
    <w:rsid w:val="00E43484"/>
    <w:rsid w:val="00E45E47"/>
    <w:rsid w:val="00E5042E"/>
    <w:rsid w:val="00E862AE"/>
    <w:rsid w:val="00EB4AEA"/>
    <w:rsid w:val="00F01FE4"/>
    <w:rsid w:val="00F41BDB"/>
    <w:rsid w:val="00F46B88"/>
    <w:rsid w:val="00F50E53"/>
    <w:rsid w:val="00F62FC7"/>
    <w:rsid w:val="00F83CD2"/>
    <w:rsid w:val="00F86E7B"/>
    <w:rsid w:val="00F95D1D"/>
    <w:rsid w:val="00FC0405"/>
    <w:rsid w:val="00FC044C"/>
    <w:rsid w:val="00FC3494"/>
    <w:rsid w:val="00FC3FF2"/>
    <w:rsid w:val="00FD13F4"/>
    <w:rsid w:val="00FD4DAA"/>
    <w:rsid w:val="00FD7F3C"/>
    <w:rsid w:val="05404C1F"/>
    <w:rsid w:val="05785C44"/>
    <w:rsid w:val="05FF344B"/>
    <w:rsid w:val="061C78BF"/>
    <w:rsid w:val="06C21663"/>
    <w:rsid w:val="078108D7"/>
    <w:rsid w:val="07F27D26"/>
    <w:rsid w:val="094229A9"/>
    <w:rsid w:val="0A3A58A0"/>
    <w:rsid w:val="0C4072B2"/>
    <w:rsid w:val="0F6459AD"/>
    <w:rsid w:val="109202F8"/>
    <w:rsid w:val="134E49AB"/>
    <w:rsid w:val="1459605D"/>
    <w:rsid w:val="17894EE8"/>
    <w:rsid w:val="18340F9B"/>
    <w:rsid w:val="1AAA4DFE"/>
    <w:rsid w:val="1CC41CA4"/>
    <w:rsid w:val="1CE912A0"/>
    <w:rsid w:val="1D4D3ACC"/>
    <w:rsid w:val="1DB418AE"/>
    <w:rsid w:val="1E707ECB"/>
    <w:rsid w:val="20CE712B"/>
    <w:rsid w:val="238654DF"/>
    <w:rsid w:val="244A1018"/>
    <w:rsid w:val="24C26FA6"/>
    <w:rsid w:val="256A1602"/>
    <w:rsid w:val="258478FC"/>
    <w:rsid w:val="29CF48E5"/>
    <w:rsid w:val="2AAE6B24"/>
    <w:rsid w:val="2BB92785"/>
    <w:rsid w:val="2C5724E3"/>
    <w:rsid w:val="2E025344"/>
    <w:rsid w:val="308E5F8F"/>
    <w:rsid w:val="37152F66"/>
    <w:rsid w:val="38F131A4"/>
    <w:rsid w:val="39685D00"/>
    <w:rsid w:val="39D0586A"/>
    <w:rsid w:val="3AD6113B"/>
    <w:rsid w:val="3D2C64D2"/>
    <w:rsid w:val="3ECF4342"/>
    <w:rsid w:val="40477F08"/>
    <w:rsid w:val="412C5A7C"/>
    <w:rsid w:val="42507975"/>
    <w:rsid w:val="45761CF7"/>
    <w:rsid w:val="4597548E"/>
    <w:rsid w:val="46252A99"/>
    <w:rsid w:val="47541CEF"/>
    <w:rsid w:val="48B43FC0"/>
    <w:rsid w:val="48B620CF"/>
    <w:rsid w:val="4B5B6BAD"/>
    <w:rsid w:val="4D2C5FA1"/>
    <w:rsid w:val="4D99109F"/>
    <w:rsid w:val="5150455B"/>
    <w:rsid w:val="51D57FBF"/>
    <w:rsid w:val="521300B1"/>
    <w:rsid w:val="528238AF"/>
    <w:rsid w:val="52F04BA0"/>
    <w:rsid w:val="538A6632"/>
    <w:rsid w:val="54A66B90"/>
    <w:rsid w:val="55792417"/>
    <w:rsid w:val="55AF20FB"/>
    <w:rsid w:val="5641747C"/>
    <w:rsid w:val="5C39333B"/>
    <w:rsid w:val="5C493E7D"/>
    <w:rsid w:val="5DB242C1"/>
    <w:rsid w:val="5EAA549F"/>
    <w:rsid w:val="5EEC1F4F"/>
    <w:rsid w:val="5EFC6636"/>
    <w:rsid w:val="60B3541A"/>
    <w:rsid w:val="6118702B"/>
    <w:rsid w:val="6130219C"/>
    <w:rsid w:val="619F774C"/>
    <w:rsid w:val="622A34BA"/>
    <w:rsid w:val="643C74D4"/>
    <w:rsid w:val="64F377E8"/>
    <w:rsid w:val="65992EA3"/>
    <w:rsid w:val="661029C7"/>
    <w:rsid w:val="67BD26DA"/>
    <w:rsid w:val="68D718BC"/>
    <w:rsid w:val="68E5013A"/>
    <w:rsid w:val="6A772E4C"/>
    <w:rsid w:val="6F675D4D"/>
    <w:rsid w:val="710B095A"/>
    <w:rsid w:val="719C6780"/>
    <w:rsid w:val="7361136A"/>
    <w:rsid w:val="73850F30"/>
    <w:rsid w:val="73BD0757"/>
    <w:rsid w:val="74C3179F"/>
    <w:rsid w:val="75D85241"/>
    <w:rsid w:val="77B979B7"/>
    <w:rsid w:val="7823415D"/>
    <w:rsid w:val="78345A42"/>
    <w:rsid w:val="7A28257D"/>
    <w:rsid w:val="7CC12815"/>
    <w:rsid w:val="7D1505F6"/>
    <w:rsid w:val="7F39008D"/>
    <w:rsid w:val="7F703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ind w:left="538"/>
      <w:outlineLvl w:val="0"/>
    </w:pPr>
    <w:rPr>
      <w:b/>
      <w:bCs/>
      <w:sz w:val="28"/>
      <w:szCs w:val="28"/>
    </w:rPr>
  </w:style>
  <w:style w:type="paragraph" w:styleId="5">
    <w:name w:val="heading 2"/>
    <w:basedOn w:val="1"/>
    <w:next w:val="1"/>
    <w:autoRedefine/>
    <w:qFormat/>
    <w:uiPriority w:val="99"/>
    <w:pPr>
      <w:keepNext/>
      <w:keepLines/>
      <w:widowControl/>
      <w:spacing w:line="360" w:lineRule="auto"/>
      <w:jc w:val="left"/>
      <w:outlineLvl w:val="1"/>
    </w:pPr>
    <w:rPr>
      <w:rFonts w:ascii="宋体" w:hAnsi="宋体" w:cs="宋体"/>
      <w:b/>
      <w:kern w:val="0"/>
      <w:sz w:val="24"/>
    </w:rPr>
  </w:style>
  <w:style w:type="paragraph" w:styleId="6">
    <w:name w:val="heading 3"/>
    <w:basedOn w:val="1"/>
    <w:next w:val="1"/>
    <w:qFormat/>
    <w:uiPriority w:val="99"/>
    <w:pPr>
      <w:keepNext/>
      <w:keepLines/>
      <w:spacing w:before="260" w:after="260" w:line="413" w:lineRule="auto"/>
      <w:outlineLvl w:val="2"/>
    </w:pPr>
    <w:rPr>
      <w:b/>
      <w:kern w:val="0"/>
      <w:sz w:val="32"/>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7"/>
    <w:qFormat/>
    <w:uiPriority w:val="1"/>
    <w:pPr>
      <w:spacing w:after="120"/>
    </w:pPr>
  </w:style>
  <w:style w:type="paragraph" w:styleId="3">
    <w:name w:val="Body Text 2"/>
    <w:basedOn w:val="1"/>
    <w:qFormat/>
    <w:uiPriority w:val="0"/>
    <w:pPr>
      <w:spacing w:after="120" w:line="480" w:lineRule="auto"/>
    </w:pPr>
    <w:rPr>
      <w:rFonts w:asciiTheme="minorHAnsi" w:hAnsiTheme="minorHAnsi" w:eastAsiaTheme="minorEastAsia" w:cstheme="minorBidi"/>
    </w:rPr>
  </w:style>
  <w:style w:type="paragraph" w:styleId="7">
    <w:name w:val="Normal Indent"/>
    <w:basedOn w:val="1"/>
    <w:unhideWhenUsed/>
    <w:qFormat/>
    <w:uiPriority w:val="99"/>
    <w:pPr>
      <w:adjustRightInd w:val="0"/>
      <w:spacing w:line="360" w:lineRule="atLeast"/>
      <w:ind w:firstLine="420"/>
      <w:textAlignment w:val="baseline"/>
    </w:pPr>
    <w:rPr>
      <w:szCs w:val="20"/>
    </w:rPr>
  </w:style>
  <w:style w:type="paragraph" w:styleId="8">
    <w:name w:val="Body Text Indent"/>
    <w:basedOn w:val="1"/>
    <w:next w:val="1"/>
    <w:autoRedefine/>
    <w:qFormat/>
    <w:uiPriority w:val="99"/>
    <w:pPr>
      <w:ind w:left="420" w:leftChars="200"/>
    </w:pPr>
  </w:style>
  <w:style w:type="paragraph" w:styleId="9">
    <w:name w:val="List 2"/>
    <w:basedOn w:val="1"/>
    <w:autoRedefine/>
    <w:qFormat/>
    <w:uiPriority w:val="0"/>
    <w:pPr>
      <w:adjustRightInd w:val="0"/>
      <w:spacing w:before="75" w:after="75" w:line="400" w:lineRule="exact"/>
      <w:ind w:left="913" w:hanging="493"/>
      <w:textAlignment w:val="baseline"/>
    </w:pPr>
    <w:rPr>
      <w:kern w:val="0"/>
      <w:szCs w:val="21"/>
    </w:rPr>
  </w:style>
  <w:style w:type="paragraph" w:styleId="10">
    <w:name w:val="toc 3"/>
    <w:basedOn w:val="1"/>
    <w:next w:val="1"/>
    <w:qFormat/>
    <w:uiPriority w:val="39"/>
    <w:pPr>
      <w:ind w:left="840" w:leftChars="400"/>
    </w:pPr>
  </w:style>
  <w:style w:type="paragraph" w:styleId="11">
    <w:name w:val="Plain Text"/>
    <w:basedOn w:val="1"/>
    <w:link w:val="41"/>
    <w:qFormat/>
    <w:uiPriority w:val="0"/>
    <w:rPr>
      <w:rFonts w:ascii="宋体" w:hAnsi="Courier New"/>
      <w:kern w:val="0"/>
      <w:sz w:val="20"/>
      <w:szCs w:val="20"/>
    </w:rPr>
  </w:style>
  <w:style w:type="paragraph" w:styleId="12">
    <w:name w:val="footer"/>
    <w:basedOn w:val="1"/>
    <w:link w:val="45"/>
    <w:autoRedefine/>
    <w:qFormat/>
    <w:uiPriority w:val="99"/>
    <w:pPr>
      <w:tabs>
        <w:tab w:val="center" w:pos="4153"/>
        <w:tab w:val="right" w:pos="8306"/>
      </w:tabs>
      <w:snapToGrid w:val="0"/>
      <w:jc w:val="center"/>
    </w:pPr>
    <w:rPr>
      <w:kern w:val="0"/>
      <w:sz w:val="18"/>
      <w:szCs w:val="18"/>
    </w:rPr>
  </w:style>
  <w:style w:type="paragraph" w:styleId="13">
    <w:name w:val="header"/>
    <w:basedOn w:val="1"/>
    <w:link w:val="42"/>
    <w:unhideWhenUsed/>
    <w:qFormat/>
    <w:uiPriority w:val="99"/>
    <w:pPr>
      <w:snapToGrid w:val="0"/>
      <w:jc w:val="center"/>
    </w:pPr>
    <w:rPr>
      <w:sz w:val="18"/>
      <w:szCs w:val="18"/>
    </w:rPr>
  </w:style>
  <w:style w:type="paragraph" w:styleId="14">
    <w:name w:val="toc 1"/>
    <w:basedOn w:val="1"/>
    <w:next w:val="1"/>
    <w:qFormat/>
    <w:uiPriority w:val="39"/>
  </w:style>
  <w:style w:type="paragraph" w:styleId="15">
    <w:name w:val="footnote text"/>
    <w:basedOn w:val="1"/>
    <w:autoRedefine/>
    <w:unhideWhenUsed/>
    <w:qFormat/>
    <w:uiPriority w:val="99"/>
    <w:pPr>
      <w:adjustRightInd w:val="0"/>
      <w:spacing w:line="312" w:lineRule="atLeast"/>
      <w:jc w:val="left"/>
    </w:pPr>
    <w:rPr>
      <w:kern w:val="0"/>
      <w:sz w:val="18"/>
      <w:szCs w:val="20"/>
    </w:rPr>
  </w:style>
  <w:style w:type="paragraph" w:styleId="16">
    <w:name w:val="toc 2"/>
    <w:basedOn w:val="1"/>
    <w:next w:val="1"/>
    <w:qFormat/>
    <w:uiPriority w:val="39"/>
    <w:pPr>
      <w:ind w:left="420" w:leftChars="200"/>
    </w:p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autoRedefine/>
    <w:qFormat/>
    <w:uiPriority w:val="0"/>
    <w:pPr>
      <w:spacing w:before="240" w:after="60"/>
      <w:jc w:val="center"/>
      <w:outlineLvl w:val="0"/>
    </w:pPr>
    <w:rPr>
      <w:rFonts w:ascii="Arial" w:hAnsi="Arial" w:cs="Arial"/>
      <w:b/>
      <w:bCs/>
      <w:sz w:val="32"/>
      <w:szCs w:val="32"/>
    </w:rPr>
  </w:style>
  <w:style w:type="paragraph" w:styleId="19">
    <w:name w:val="Body Text First Indent 2"/>
    <w:basedOn w:val="8"/>
    <w:next w:val="1"/>
    <w:qFormat/>
    <w:uiPriority w:val="99"/>
    <w:pPr>
      <w:spacing w:line="312" w:lineRule="auto"/>
      <w:ind w:firstLine="420" w:firstLineChars="200"/>
    </w:pPr>
    <w:rPr>
      <w:sz w:val="22"/>
    </w:rPr>
  </w:style>
  <w:style w:type="table" w:styleId="21">
    <w:name w:val="Table Grid"/>
    <w:basedOn w:val="20"/>
    <w:autoRedefine/>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99"/>
    <w:rPr>
      <w:rFonts w:ascii="Times New Roman" w:hAnsi="Times New Roman" w:eastAsia="宋体" w:cs="Times New Roman"/>
      <w:b/>
      <w:bCs/>
    </w:rPr>
  </w:style>
  <w:style w:type="character" w:styleId="24">
    <w:name w:val="Hyperlink"/>
    <w:basedOn w:val="22"/>
    <w:qFormat/>
    <w:uiPriority w:val="99"/>
    <w:rPr>
      <w:color w:val="0026E5" w:themeColor="hyperlink"/>
      <w:u w:val="single"/>
      <w14:textFill>
        <w14:solidFill>
          <w14:schemeClr w14:val="hlink"/>
        </w14:solidFill>
      </w14:textFill>
    </w:rPr>
  </w:style>
  <w:style w:type="paragraph" w:customStyle="1" w:styleId="25">
    <w:name w:val="列出段落1"/>
    <w:basedOn w:val="1"/>
    <w:qFormat/>
    <w:uiPriority w:val="34"/>
    <w:pPr>
      <w:ind w:firstLine="420" w:firstLineChars="200"/>
    </w:pPr>
    <w:rPr>
      <w:rFonts w:ascii="Calibri" w:hAnsi="Calibri"/>
      <w:szCs w:val="22"/>
    </w:rPr>
  </w:style>
  <w:style w:type="character" w:customStyle="1" w:styleId="26">
    <w:name w:val="editinput"/>
    <w:autoRedefine/>
    <w:qFormat/>
    <w:uiPriority w:val="99"/>
    <w:rPr>
      <w:rFonts w:ascii="Times New Roman" w:hAnsi="Times New Roman" w:eastAsia="宋体"/>
    </w:rPr>
  </w:style>
  <w:style w:type="character" w:customStyle="1" w:styleId="27">
    <w:name w:val="edittexttarea"/>
    <w:autoRedefine/>
    <w:qFormat/>
    <w:uiPriority w:val="99"/>
    <w:rPr>
      <w:rFonts w:ascii="Times New Roman" w:hAnsi="Times New Roman" w:eastAsia="宋体"/>
    </w:rPr>
  </w:style>
  <w:style w:type="paragraph" w:customStyle="1" w:styleId="28">
    <w:name w:val="p0_0"/>
    <w:basedOn w:val="1"/>
    <w:autoRedefine/>
    <w:qFormat/>
    <w:uiPriority w:val="99"/>
    <w:pPr>
      <w:widowControl/>
    </w:pPr>
    <w:rPr>
      <w:kern w:val="0"/>
      <w:szCs w:val="21"/>
    </w:rPr>
  </w:style>
  <w:style w:type="paragraph" w:customStyle="1" w:styleId="29">
    <w:name w:val="null3"/>
    <w:autoRedefine/>
    <w:hidden/>
    <w:qFormat/>
    <w:uiPriority w:val="0"/>
    <w:rPr>
      <w:rFonts w:hint="eastAsia" w:asciiTheme="minorHAnsi" w:hAnsiTheme="minorHAnsi" w:eastAsiaTheme="minorEastAsia" w:cstheme="minorBidi"/>
      <w:lang w:val="en-US" w:eastAsia="zh-Hans" w:bidi="ar-SA"/>
    </w:rPr>
  </w:style>
  <w:style w:type="paragraph" w:customStyle="1" w:styleId="30">
    <w:name w:val="普通(网站)2"/>
    <w:basedOn w:val="1"/>
    <w:qFormat/>
    <w:uiPriority w:val="99"/>
    <w:pPr>
      <w:jc w:val="left"/>
    </w:pPr>
    <w:rPr>
      <w:rFonts w:ascii="Calibri" w:hAnsi="Calibri" w:cs="黑体"/>
      <w:kern w:val="0"/>
      <w:sz w:val="24"/>
    </w:rPr>
  </w:style>
  <w:style w:type="paragraph" w:customStyle="1" w:styleId="31">
    <w:name w:val="样式 首行缩进:  2 字符"/>
    <w:basedOn w:val="1"/>
    <w:autoRedefine/>
    <w:qFormat/>
    <w:uiPriority w:val="99"/>
    <w:pPr>
      <w:ind w:firstLine="560"/>
    </w:pPr>
    <w:rPr>
      <w:rFonts w:eastAsia="仿宋_GB2312"/>
      <w:sz w:val="24"/>
      <w:szCs w:val="20"/>
    </w:rPr>
  </w:style>
  <w:style w:type="paragraph" w:customStyle="1" w:styleId="32">
    <w:name w:val="[Normal]"/>
    <w:autoRedefine/>
    <w:qFormat/>
    <w:uiPriority w:val="0"/>
    <w:rPr>
      <w:rFonts w:ascii="宋体" w:hAnsi="宋体" w:eastAsia="宋体" w:cs="Times New Roman"/>
      <w:sz w:val="24"/>
      <w:szCs w:val="22"/>
      <w:lang w:val="zh-CN" w:eastAsia="zh-CN" w:bidi="ar-SA"/>
    </w:rPr>
  </w:style>
  <w:style w:type="paragraph" w:customStyle="1" w:styleId="33">
    <w:name w:val="表格"/>
    <w:basedOn w:val="1"/>
    <w:autoRedefine/>
    <w:qFormat/>
    <w:uiPriority w:val="0"/>
    <w:pPr>
      <w:spacing w:after="160" w:line="360" w:lineRule="exact"/>
    </w:pPr>
    <w:rPr>
      <w:rFonts w:ascii="Calibri" w:hAnsi="Calibri" w:eastAsia="仿宋"/>
      <w:sz w:val="24"/>
    </w:rPr>
  </w:style>
  <w:style w:type="character" w:customStyle="1" w:styleId="34">
    <w:name w:val="apple-converted-space"/>
    <w:basedOn w:val="22"/>
    <w:qFormat/>
    <w:uiPriority w:val="0"/>
  </w:style>
  <w:style w:type="paragraph" w:customStyle="1" w:styleId="35">
    <w:name w:val="xl53"/>
    <w:basedOn w:val="1"/>
    <w:next w:val="1"/>
    <w:autoRedefine/>
    <w:qFormat/>
    <w:uiPriority w:val="99"/>
    <w:pPr>
      <w:spacing w:before="280" w:after="280" w:line="100" w:lineRule="exact"/>
      <w:jc w:val="center"/>
    </w:pPr>
    <w:rPr>
      <w:b/>
      <w:sz w:val="20"/>
    </w:rPr>
  </w:style>
  <w:style w:type="paragraph" w:customStyle="1" w:styleId="36">
    <w:name w:val="样式 小四 段前: 5 磅 段后: 5 磅 首行缩进:  2 字符"/>
    <w:basedOn w:val="1"/>
    <w:autoRedefine/>
    <w:qFormat/>
    <w:uiPriority w:val="0"/>
    <w:pPr>
      <w:spacing w:before="100" w:after="156" w:afterLines="50" w:line="360" w:lineRule="auto"/>
    </w:pPr>
    <w:rPr>
      <w:szCs w:val="21"/>
    </w:rPr>
  </w:style>
  <w:style w:type="character" w:customStyle="1" w:styleId="37">
    <w:name w:val="正文文本 字符"/>
    <w:basedOn w:val="22"/>
    <w:link w:val="2"/>
    <w:qFormat/>
    <w:uiPriority w:val="1"/>
    <w:rPr>
      <w:rFonts w:ascii="Times New Roman" w:hAnsi="Times New Roman" w:eastAsia="宋体" w:cs="Times New Roman"/>
      <w:kern w:val="2"/>
      <w:sz w:val="21"/>
      <w:szCs w:val="24"/>
    </w:rPr>
  </w:style>
  <w:style w:type="paragraph" w:customStyle="1" w:styleId="38">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39">
    <w:name w:val="未处理的提及1"/>
    <w:basedOn w:val="22"/>
    <w:semiHidden/>
    <w:unhideWhenUsed/>
    <w:qFormat/>
    <w:uiPriority w:val="99"/>
    <w:rPr>
      <w:color w:val="605E5C"/>
      <w:shd w:val="clear" w:color="auto" w:fill="E1DFDD"/>
    </w:rPr>
  </w:style>
  <w:style w:type="paragraph" w:customStyle="1" w:styleId="4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1">
    <w:name w:val="纯文本 字符"/>
    <w:basedOn w:val="22"/>
    <w:link w:val="11"/>
    <w:qFormat/>
    <w:uiPriority w:val="0"/>
    <w:rPr>
      <w:rFonts w:ascii="宋体" w:hAnsi="Courier New" w:eastAsia="宋体" w:cs="Times New Roman"/>
    </w:rPr>
  </w:style>
  <w:style w:type="character" w:customStyle="1" w:styleId="42">
    <w:name w:val="页眉 字符"/>
    <w:basedOn w:val="22"/>
    <w:link w:val="13"/>
    <w:qFormat/>
    <w:uiPriority w:val="99"/>
    <w:rPr>
      <w:rFonts w:ascii="Times New Roman" w:hAnsi="Times New Roman" w:eastAsia="宋体" w:cs="Times New Roman"/>
      <w:kern w:val="2"/>
      <w:sz w:val="18"/>
      <w:szCs w:val="18"/>
    </w:rPr>
  </w:style>
  <w:style w:type="paragraph" w:customStyle="1" w:styleId="43">
    <w:name w:val="文档正文"/>
    <w:basedOn w:val="1"/>
    <w:qFormat/>
    <w:uiPriority w:val="0"/>
    <w:pPr>
      <w:autoSpaceDE w:val="0"/>
      <w:autoSpaceDN w:val="0"/>
      <w:spacing w:beforeLines="50" w:afterLines="50" w:line="360" w:lineRule="auto"/>
      <w:ind w:firstLine="560" w:firstLineChars="200"/>
      <w:jc w:val="left"/>
    </w:pPr>
    <w:rPr>
      <w:rFonts w:ascii="宋体" w:hAnsi="宋体" w:cs="Arial"/>
      <w:bCs/>
      <w:kern w:val="0"/>
      <w:sz w:val="28"/>
      <w:szCs w:val="28"/>
      <w:lang w:eastAsia="en-US"/>
    </w:rPr>
  </w:style>
  <w:style w:type="paragraph" w:styleId="44">
    <w:name w:val="List Paragraph"/>
    <w:basedOn w:val="1"/>
    <w:unhideWhenUsed/>
    <w:qFormat/>
    <w:uiPriority w:val="99"/>
    <w:pPr>
      <w:ind w:firstLine="420" w:firstLineChars="200"/>
    </w:pPr>
  </w:style>
  <w:style w:type="character" w:customStyle="1" w:styleId="45">
    <w:name w:val="页脚 字符"/>
    <w:basedOn w:val="22"/>
    <w:link w:val="12"/>
    <w:qFormat/>
    <w:uiPriority w:val="99"/>
    <w:rPr>
      <w:rFonts w:ascii="Times New Roman" w:hAnsi="Times New Roman" w:eastAsia="宋体" w:cs="Times New Roman"/>
      <w:sz w:val="18"/>
      <w:szCs w:val="18"/>
    </w:rPr>
  </w:style>
  <w:style w:type="paragraph" w:customStyle="1" w:styleId="4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4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132808-2DB5-434C-82B2-354F1CA70F40}">
  <ds:schemaRefs/>
</ds:datastoreItem>
</file>

<file path=docProps/app.xml><?xml version="1.0" encoding="utf-8"?>
<Properties xmlns="http://schemas.openxmlformats.org/officeDocument/2006/extended-properties" xmlns:vt="http://schemas.openxmlformats.org/officeDocument/2006/docPropsVTypes">
  <Template>Normal.dotm</Template>
  <Company>fhcpec.com.cn</Company>
  <Pages>33</Pages>
  <Words>305</Words>
  <Characters>335</Characters>
  <Lines>691</Lines>
  <Paragraphs>711</Paragraphs>
  <TotalTime>380</TotalTime>
  <ScaleCrop>false</ScaleCrop>
  <LinksUpToDate>false</LinksUpToDate>
  <CharactersWithSpaces>376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2025-04-15T09:03:00Z</dcterms:created>
  <dc:creator>Administrator</dc:creator>
  <cp:lastModifiedBy>Administrator</cp:lastModifiedBy>
  <cp:lastPrinted>2025-09-28T01:28:00Z</cp:lastPrinted>
  <dcterms:modified xsi:type="dcterms:W3CDTF">2025-10-07T06:43:09Z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5447DA6A058E4F4C917B08448281FD4B_13</vt:lpwstr>
  </property>
  <property fmtid="{D5CDD505-2E9C-101B-9397-08002B2CF9AE}" pid="4" name="KSOTemplateDocerSaveRecord">
    <vt:lpwstr>eyJoZGlkIjoiOTY1ZTk0ODY5NDU4YzdkNTE4NmE0Nzg4MzVmNWEwNTkiLCJ1c2VySWQiOiI2Njg2MzE0MDYifQ==</vt:lpwstr>
  </property>
</Properties>
</file>